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72A458" w14:textId="2827373B" w:rsidR="00DA3AC4" w:rsidRPr="00975AFF" w:rsidRDefault="00975AFF" w:rsidP="008D312A">
      <w:pPr>
        <w:spacing w:before="100" w:beforeAutospacing="1" w:after="100" w:afterAutospacing="1" w:line="240" w:lineRule="auto"/>
        <w:outlineLvl w:val="2"/>
        <w:rPr>
          <w:rFonts w:ascii="Abadi" w:eastAsia="Times New Roman" w:hAnsi="Abadi" w:cs="Times New Roman"/>
          <w:b/>
          <w:bCs/>
          <w:kern w:val="0"/>
          <w:sz w:val="80"/>
          <w:szCs w:val="80"/>
          <w14:ligatures w14:val="none"/>
        </w:rPr>
      </w:pPr>
      <w:bookmarkStart w:id="0" w:name="_Toc171959016"/>
      <w:bookmarkStart w:id="1" w:name="_Toc172129331"/>
      <w:bookmarkStart w:id="2" w:name="_Toc172207530"/>
      <w:bookmarkStart w:id="3" w:name="_Toc172554882"/>
      <w:bookmarkStart w:id="4" w:name="_Toc172743803"/>
      <w:r w:rsidRPr="00975AFF">
        <w:rPr>
          <w:rFonts w:ascii="Abadi" w:eastAsia="Times New Roman" w:hAnsi="Abadi" w:cs="Times New Roman"/>
          <w:b/>
          <w:bCs/>
          <w:kern w:val="0"/>
          <w:sz w:val="80"/>
          <w:szCs w:val="80"/>
          <w14:ligatures w14:val="none"/>
        </w:rPr>
        <w:t>Gaza</w:t>
      </w:r>
      <w:bookmarkEnd w:id="0"/>
      <w:bookmarkEnd w:id="1"/>
      <w:bookmarkEnd w:id="2"/>
      <w:bookmarkEnd w:id="3"/>
      <w:bookmarkEnd w:id="4"/>
    </w:p>
    <w:p w14:paraId="0A180955" w14:textId="7C64BE01" w:rsidR="00DA3AC4" w:rsidRPr="00975AFF" w:rsidRDefault="0005226E" w:rsidP="008D312A">
      <w:pPr>
        <w:spacing w:before="100" w:beforeAutospacing="1" w:after="100" w:afterAutospacing="1" w:line="240" w:lineRule="auto"/>
        <w:outlineLvl w:val="2"/>
        <w:rPr>
          <w:rFonts w:ascii="Abadi" w:eastAsia="Times New Roman" w:hAnsi="Abadi" w:cs="Times New Roman"/>
          <w:b/>
          <w:bCs/>
          <w:kern w:val="0"/>
          <w:sz w:val="80"/>
          <w:szCs w:val="80"/>
          <w14:ligatures w14:val="none"/>
        </w:rPr>
      </w:pPr>
      <w:bookmarkStart w:id="5" w:name="_Toc172743804"/>
      <w:r w:rsidRPr="0005226E">
        <w:rPr>
          <w:rFonts w:ascii="Abadi" w:eastAsia="Times New Roman" w:hAnsi="Abadi" w:cs="Times New Roman"/>
          <w:b/>
          <w:bCs/>
          <w:kern w:val="0"/>
          <w:sz w:val="80"/>
          <w:szCs w:val="80"/>
          <w14:ligatures w14:val="none"/>
        </w:rPr>
        <w:t>Universities</w:t>
      </w:r>
      <w:bookmarkEnd w:id="5"/>
    </w:p>
    <w:p w14:paraId="4A7160F9" w14:textId="612931CF" w:rsidR="00F96E83" w:rsidRPr="008D312A" w:rsidRDefault="00F86E04" w:rsidP="008D312A">
      <w:pPr>
        <w:spacing w:before="100" w:beforeAutospacing="1" w:after="100" w:afterAutospacing="1" w:line="240" w:lineRule="auto"/>
        <w:outlineLvl w:val="2"/>
        <w:rPr>
          <w:rFonts w:ascii="Abadi" w:eastAsia="Times New Roman" w:hAnsi="Abadi" w:cs="Times New Roman"/>
          <w:b/>
          <w:bCs/>
          <w:kern w:val="0"/>
          <w:sz w:val="80"/>
          <w:szCs w:val="80"/>
          <w:lang w:val="en-US"/>
          <w14:ligatures w14:val="none"/>
        </w:rPr>
      </w:pPr>
      <w:bookmarkStart w:id="6" w:name="_Toc168649081"/>
      <w:bookmarkStart w:id="7" w:name="_Toc168681196"/>
      <w:bookmarkStart w:id="8" w:name="_Toc168681380"/>
      <w:bookmarkStart w:id="9" w:name="_Toc168681197"/>
      <w:bookmarkStart w:id="10" w:name="_Toc168681381"/>
      <w:bookmarkStart w:id="11" w:name="_Toc170846130"/>
      <w:bookmarkStart w:id="12" w:name="_Toc171959018"/>
      <w:bookmarkStart w:id="13" w:name="_Toc172129333"/>
      <w:bookmarkStart w:id="14" w:name="_Toc172207532"/>
      <w:bookmarkStart w:id="15" w:name="_Toc172554884"/>
      <w:bookmarkStart w:id="16" w:name="_Toc172743805"/>
      <w:r w:rsidRPr="002902F4">
        <w:rPr>
          <w:rFonts w:ascii="Abadi" w:eastAsia="Times New Roman" w:hAnsi="Abadi" w:cs="Times New Roman"/>
          <w:b/>
          <w:bCs/>
          <w:noProof/>
          <w:kern w:val="0"/>
          <w:sz w:val="60"/>
          <w:szCs w:val="60"/>
          <w:lang w:val="en-US"/>
        </w:rPr>
        <w:drawing>
          <wp:anchor distT="0" distB="0" distL="114300" distR="114300" simplePos="0" relativeHeight="251660288" behindDoc="0" locked="0" layoutInCell="1" allowOverlap="1" wp14:anchorId="2335126E" wp14:editId="21696F24">
            <wp:simplePos x="0" y="0"/>
            <wp:positionH relativeFrom="column">
              <wp:posOffset>4262442</wp:posOffset>
            </wp:positionH>
            <wp:positionV relativeFrom="paragraph">
              <wp:posOffset>104140</wp:posOffset>
            </wp:positionV>
            <wp:extent cx="1965960" cy="1962028"/>
            <wp:effectExtent l="0" t="0" r="0" b="0"/>
            <wp:wrapNone/>
            <wp:docPr id="1451578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57885" name="Pictur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65960" cy="1962028"/>
                    </a:xfrm>
                    <a:prstGeom prst="rect">
                      <a:avLst/>
                    </a:prstGeom>
                  </pic:spPr>
                </pic:pic>
              </a:graphicData>
            </a:graphic>
            <wp14:sizeRelH relativeFrom="page">
              <wp14:pctWidth>0</wp14:pctWidth>
            </wp14:sizeRelH>
            <wp14:sizeRelV relativeFrom="page">
              <wp14:pctHeight>0</wp14:pctHeight>
            </wp14:sizeRelV>
          </wp:anchor>
        </w:drawing>
      </w:r>
      <w:bookmarkEnd w:id="6"/>
      <w:bookmarkEnd w:id="7"/>
      <w:bookmarkEnd w:id="8"/>
      <w:r w:rsidR="00A226BF" w:rsidRPr="008D312A">
        <w:rPr>
          <w:rFonts w:ascii="Abadi" w:eastAsia="Times New Roman" w:hAnsi="Abadi" w:cs="Times New Roman"/>
          <w:b/>
          <w:bCs/>
          <w:kern w:val="0"/>
          <w:sz w:val="80"/>
          <w:szCs w:val="80"/>
          <w:lang w:val="en-US"/>
          <w14:ligatures w14:val="none"/>
        </w:rPr>
        <w:t>Debates</w:t>
      </w:r>
      <w:bookmarkEnd w:id="9"/>
      <w:bookmarkEnd w:id="10"/>
      <w:bookmarkEnd w:id="11"/>
      <w:bookmarkEnd w:id="12"/>
      <w:bookmarkEnd w:id="13"/>
      <w:bookmarkEnd w:id="14"/>
      <w:bookmarkEnd w:id="15"/>
      <w:bookmarkEnd w:id="16"/>
    </w:p>
    <w:p w14:paraId="5FE81C61" w14:textId="0AF7605E" w:rsidR="00590D08" w:rsidRPr="00FA5304" w:rsidRDefault="00F86E04">
      <w:pPr>
        <w:rPr>
          <w:rFonts w:ascii="Abadi" w:eastAsia="Times New Roman" w:hAnsi="Abadi" w:cs="Times New Roman"/>
          <w:b/>
          <w:bCs/>
          <w:kern w:val="0"/>
          <w:sz w:val="27"/>
          <w:szCs w:val="27"/>
          <w:highlight w:val="yellow"/>
          <w:lang w:val="en-US"/>
          <w14:ligatures w14:val="none"/>
        </w:rPr>
      </w:pPr>
      <w:r>
        <w:rPr>
          <w:rFonts w:ascii="Abadi" w:eastAsia="Times New Roman" w:hAnsi="Abadi" w:cs="Times New Roman"/>
          <w:b/>
          <w:bCs/>
          <w:noProof/>
          <w:kern w:val="0"/>
          <w:sz w:val="27"/>
          <w:szCs w:val="27"/>
          <w:lang w:val="en-US"/>
        </w:rPr>
        <w:drawing>
          <wp:anchor distT="0" distB="0" distL="114300" distR="114300" simplePos="0" relativeHeight="251659264" behindDoc="0" locked="0" layoutInCell="1" allowOverlap="1" wp14:anchorId="49653CE6" wp14:editId="68F471F6">
            <wp:simplePos x="0" y="0"/>
            <wp:positionH relativeFrom="margin">
              <wp:posOffset>0</wp:posOffset>
            </wp:positionH>
            <wp:positionV relativeFrom="paragraph">
              <wp:posOffset>533400</wp:posOffset>
            </wp:positionV>
            <wp:extent cx="5731510" cy="5731510"/>
            <wp:effectExtent l="0" t="0" r="2540" b="2540"/>
            <wp:wrapThrough wrapText="bothSides">
              <wp:wrapPolygon edited="0">
                <wp:start x="0" y="0"/>
                <wp:lineTo x="0" y="21538"/>
                <wp:lineTo x="21538" y="21538"/>
                <wp:lineTo x="21538" y="0"/>
                <wp:lineTo x="0" y="0"/>
              </wp:wrapPolygon>
            </wp:wrapThrough>
            <wp:docPr id="13634317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431793" name="Picture 1"/>
                    <pic:cNvPicPr/>
                  </pic:nvPicPr>
                  <pic:blipFill>
                    <a:blip r:embed="rId9">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14:sizeRelH relativeFrom="page">
              <wp14:pctWidth>0</wp14:pctWidth>
            </wp14:sizeRelH>
            <wp14:sizeRelV relativeFrom="page">
              <wp14:pctHeight>0</wp14:pctHeight>
            </wp14:sizeRelV>
          </wp:anchor>
        </w:drawing>
      </w:r>
      <w:r w:rsidR="00590D08" w:rsidRPr="00FA5304">
        <w:rPr>
          <w:rFonts w:ascii="Abadi" w:eastAsia="Times New Roman" w:hAnsi="Abadi" w:cs="Times New Roman"/>
          <w:b/>
          <w:bCs/>
          <w:kern w:val="0"/>
          <w:sz w:val="27"/>
          <w:szCs w:val="27"/>
          <w:highlight w:val="yellow"/>
          <w:lang w:val="en-US"/>
          <w14:ligatures w14:val="none"/>
        </w:rPr>
        <w:br w:type="page"/>
      </w:r>
    </w:p>
    <w:p w14:paraId="356DDFB1" w14:textId="77777777" w:rsidR="00B56690" w:rsidRDefault="00B56690" w:rsidP="00B56690">
      <w:pPr>
        <w:rPr>
          <w:rFonts w:ascii="Abadi" w:eastAsia="Times New Roman" w:hAnsi="Abadi" w:cs="Times New Roman"/>
          <w:b/>
          <w:bCs/>
          <w:kern w:val="0"/>
          <w:sz w:val="28"/>
          <w:szCs w:val="28"/>
          <w14:ligatures w14:val="none"/>
        </w:rPr>
      </w:pPr>
    </w:p>
    <w:p w14:paraId="41E634FE" w14:textId="77777777" w:rsidR="00B56690" w:rsidRDefault="00B56690" w:rsidP="00B56690">
      <w:pPr>
        <w:rPr>
          <w:rFonts w:ascii="Abadi" w:eastAsia="Times New Roman" w:hAnsi="Abadi" w:cs="Times New Roman"/>
          <w:b/>
          <w:bCs/>
          <w:kern w:val="0"/>
          <w:sz w:val="28"/>
          <w:szCs w:val="28"/>
          <w14:ligatures w14:val="none"/>
        </w:rPr>
      </w:pPr>
    </w:p>
    <w:p w14:paraId="0974BFF4" w14:textId="77777777" w:rsidR="00B56690" w:rsidRDefault="00B56690" w:rsidP="00B56690">
      <w:pPr>
        <w:rPr>
          <w:rFonts w:ascii="Abadi" w:eastAsia="Times New Roman" w:hAnsi="Abadi" w:cs="Times New Roman"/>
          <w:b/>
          <w:bCs/>
          <w:kern w:val="0"/>
          <w:sz w:val="28"/>
          <w:szCs w:val="28"/>
          <w14:ligatures w14:val="none"/>
        </w:rPr>
      </w:pPr>
    </w:p>
    <w:p w14:paraId="696E8A92" w14:textId="77777777" w:rsidR="00B56690" w:rsidRDefault="00B56690" w:rsidP="00B56690">
      <w:pPr>
        <w:rPr>
          <w:rFonts w:ascii="Abadi" w:eastAsia="Times New Roman" w:hAnsi="Abadi" w:cs="Times New Roman"/>
          <w:b/>
          <w:bCs/>
          <w:kern w:val="0"/>
          <w:sz w:val="28"/>
          <w:szCs w:val="28"/>
          <w14:ligatures w14:val="none"/>
        </w:rPr>
      </w:pPr>
    </w:p>
    <w:p w14:paraId="7AA997A9" w14:textId="77777777" w:rsidR="00B56690" w:rsidRDefault="00B56690" w:rsidP="00B56690">
      <w:pPr>
        <w:rPr>
          <w:rFonts w:ascii="Abadi" w:eastAsia="Times New Roman" w:hAnsi="Abadi" w:cs="Times New Roman"/>
          <w:b/>
          <w:bCs/>
          <w:kern w:val="0"/>
          <w:sz w:val="28"/>
          <w:szCs w:val="28"/>
          <w14:ligatures w14:val="none"/>
        </w:rPr>
      </w:pPr>
    </w:p>
    <w:p w14:paraId="56A262B4" w14:textId="77777777" w:rsidR="00B56690" w:rsidRDefault="00B56690" w:rsidP="00B56690">
      <w:pPr>
        <w:rPr>
          <w:rFonts w:ascii="Abadi" w:eastAsia="Times New Roman" w:hAnsi="Abadi" w:cs="Times New Roman"/>
          <w:b/>
          <w:bCs/>
          <w:kern w:val="0"/>
          <w:sz w:val="28"/>
          <w:szCs w:val="28"/>
          <w14:ligatures w14:val="none"/>
        </w:rPr>
      </w:pPr>
    </w:p>
    <w:p w14:paraId="42AED7A4" w14:textId="77777777" w:rsidR="00B56690" w:rsidRDefault="00B56690" w:rsidP="00B56690">
      <w:pPr>
        <w:rPr>
          <w:rFonts w:ascii="Abadi" w:eastAsia="Times New Roman" w:hAnsi="Abadi" w:cs="Times New Roman"/>
          <w:b/>
          <w:bCs/>
          <w:kern w:val="0"/>
          <w:sz w:val="28"/>
          <w:szCs w:val="28"/>
          <w14:ligatures w14:val="none"/>
        </w:rPr>
      </w:pPr>
    </w:p>
    <w:p w14:paraId="4FF992D9" w14:textId="1B8247FA" w:rsidR="00C96C03" w:rsidRDefault="00B56690" w:rsidP="007B445F">
      <w:pPr>
        <w:pBdr>
          <w:top w:val="single" w:sz="4" w:space="1" w:color="auto" w:shadow="1"/>
          <w:left w:val="single" w:sz="4" w:space="1" w:color="auto" w:shadow="1"/>
          <w:bottom w:val="single" w:sz="4" w:space="1" w:color="auto" w:shadow="1"/>
          <w:right w:val="single" w:sz="4" w:space="1" w:color="auto" w:shadow="1"/>
        </w:pBdr>
        <w:jc w:val="center"/>
        <w:rPr>
          <w:rFonts w:ascii="Abadi" w:eastAsia="Times New Roman" w:hAnsi="Abadi" w:cs="Times New Roman"/>
          <w:b/>
          <w:bCs/>
          <w:kern w:val="0"/>
          <w:sz w:val="28"/>
          <w:szCs w:val="28"/>
          <w14:ligatures w14:val="none"/>
        </w:rPr>
      </w:pPr>
      <w:r>
        <w:rPr>
          <w:rFonts w:ascii="Abadi" w:eastAsia="Times New Roman" w:hAnsi="Abadi" w:cs="Times New Roman"/>
          <w:b/>
          <w:bCs/>
          <w:kern w:val="0"/>
          <w:sz w:val="28"/>
          <w:szCs w:val="28"/>
          <w14:ligatures w14:val="none"/>
        </w:rPr>
        <w:br/>
      </w:r>
      <w:r w:rsidR="001E5A29">
        <w:rPr>
          <w:rFonts w:ascii="Abadi" w:eastAsia="Times New Roman" w:hAnsi="Abadi" w:cs="Times New Roman"/>
          <w:b/>
          <w:bCs/>
          <w:kern w:val="0"/>
          <w:sz w:val="28"/>
          <w:szCs w:val="28"/>
          <w14:ligatures w14:val="none"/>
        </w:rPr>
        <w:t>Debates</w:t>
      </w:r>
    </w:p>
    <w:p w14:paraId="6ADA87E5" w14:textId="53741C3A" w:rsidR="00530A5F" w:rsidRDefault="00530A5F" w:rsidP="007B445F">
      <w:pPr>
        <w:pBdr>
          <w:top w:val="single" w:sz="4" w:space="1" w:color="auto" w:shadow="1"/>
          <w:left w:val="single" w:sz="4" w:space="1" w:color="auto" w:shadow="1"/>
          <w:bottom w:val="single" w:sz="4" w:space="1" w:color="auto" w:shadow="1"/>
          <w:right w:val="single" w:sz="4" w:space="1" w:color="auto" w:shadow="1"/>
        </w:pBdr>
        <w:spacing w:before="100" w:beforeAutospacing="1" w:after="100" w:afterAutospacing="1" w:line="240" w:lineRule="auto"/>
        <w:jc w:val="center"/>
        <w:rPr>
          <w:rFonts w:ascii="Abadi" w:eastAsia="Times New Roman" w:hAnsi="Abadi" w:cs="Times New Roman"/>
          <w:kern w:val="0"/>
          <w:sz w:val="28"/>
          <w:szCs w:val="28"/>
          <w:lang w:val="en-US"/>
          <w14:ligatures w14:val="none"/>
        </w:rPr>
      </w:pPr>
      <w:r w:rsidRPr="00530A5F">
        <w:rPr>
          <w:rFonts w:ascii="Abadi" w:eastAsia="Times New Roman" w:hAnsi="Abadi" w:cs="Times New Roman"/>
          <w:kern w:val="0"/>
          <w:sz w:val="28"/>
          <w:szCs w:val="28"/>
          <w14:ligatures w14:val="none"/>
        </w:rPr>
        <w:t xml:space="preserve">Our debate series </w:t>
      </w:r>
      <w:r w:rsidR="006860BD">
        <w:rPr>
          <w:rFonts w:ascii="Abadi" w:eastAsia="Times New Roman" w:hAnsi="Abadi" w:cs="Times New Roman"/>
          <w:kern w:val="0"/>
          <w:sz w:val="28"/>
          <w:szCs w:val="28"/>
          <w:lang w:val="en-US"/>
          <w14:ligatures w14:val="none"/>
        </w:rPr>
        <w:t xml:space="preserve">generated by </w:t>
      </w:r>
      <w:r w:rsidR="007B445F">
        <w:rPr>
          <w:rFonts w:ascii="Abadi" w:eastAsia="Times New Roman" w:hAnsi="Abadi" w:cs="Times New Roman"/>
          <w:kern w:val="0"/>
          <w:sz w:val="28"/>
          <w:szCs w:val="28"/>
          <w:lang w:val="en-US"/>
          <w14:ligatures w14:val="none"/>
        </w:rPr>
        <w:t xml:space="preserve">trained </w:t>
      </w:r>
      <w:r w:rsidR="006860BD">
        <w:rPr>
          <w:rFonts w:ascii="Abadi" w:eastAsia="Times New Roman" w:hAnsi="Abadi" w:cs="Times New Roman"/>
          <w:kern w:val="0"/>
          <w:sz w:val="28"/>
          <w:szCs w:val="28"/>
          <w:lang w:val="en-US"/>
          <w14:ligatures w14:val="none"/>
        </w:rPr>
        <w:t xml:space="preserve">AI and reviewed by domain experts, </w:t>
      </w:r>
      <w:r w:rsidRPr="00530A5F">
        <w:rPr>
          <w:rFonts w:ascii="Abadi" w:eastAsia="Times New Roman" w:hAnsi="Abadi" w:cs="Times New Roman"/>
          <w:kern w:val="0"/>
          <w:sz w:val="28"/>
          <w:szCs w:val="28"/>
          <w14:ligatures w14:val="none"/>
        </w:rPr>
        <w:t xml:space="preserve">explores diverse perspectives on pivotal issues shaping </w:t>
      </w:r>
      <w:r w:rsidR="009F00DA">
        <w:rPr>
          <w:rFonts w:ascii="Abadi" w:eastAsia="Times New Roman" w:hAnsi="Abadi" w:cs="Times New Roman"/>
          <w:kern w:val="0"/>
          <w:sz w:val="28"/>
          <w:szCs w:val="28"/>
          <w14:ligatures w14:val="none"/>
        </w:rPr>
        <w:t>Gaza</w:t>
      </w:r>
      <w:r w:rsidRPr="00530A5F">
        <w:rPr>
          <w:rFonts w:ascii="Abadi" w:eastAsia="Times New Roman" w:hAnsi="Abadi" w:cs="Times New Roman"/>
          <w:kern w:val="0"/>
          <w:sz w:val="28"/>
          <w:szCs w:val="28"/>
          <w14:ligatures w14:val="none"/>
        </w:rPr>
        <w:t xml:space="preserve">'s future. Each debate fosters deep dialogue, presenting balanced viewpoints on key policies and strategies to support the nation's recovery and rebuilding efforts. By illuminating the complexities of challenges and opportunities facing </w:t>
      </w:r>
      <w:r w:rsidR="009F00DA">
        <w:rPr>
          <w:rFonts w:ascii="Abadi" w:eastAsia="Times New Roman" w:hAnsi="Abadi" w:cs="Times New Roman"/>
          <w:kern w:val="0"/>
          <w:sz w:val="28"/>
          <w:szCs w:val="28"/>
          <w14:ligatures w14:val="none"/>
        </w:rPr>
        <w:t>Gaza</w:t>
      </w:r>
      <w:r w:rsidRPr="00530A5F">
        <w:rPr>
          <w:rFonts w:ascii="Abadi" w:eastAsia="Times New Roman" w:hAnsi="Abadi" w:cs="Times New Roman"/>
          <w:kern w:val="0"/>
          <w:sz w:val="28"/>
          <w:szCs w:val="28"/>
          <w14:ligatures w14:val="none"/>
        </w:rPr>
        <w:t>, these debates enhance informed decision-making among stakeholders including government bodies, local organizations, academia, think tanks, and international partners. This dynamic exchange of ideas not only promotes critical thinking but also equips participants with the insights needed to make strategic decisions and develop innovative solutions for national advancement.</w:t>
      </w:r>
    </w:p>
    <w:p w14:paraId="382C96C5" w14:textId="54D9E253" w:rsidR="006860BD" w:rsidRPr="00655AA2" w:rsidRDefault="006860BD" w:rsidP="007B445F">
      <w:pPr>
        <w:pBdr>
          <w:top w:val="single" w:sz="4" w:space="1" w:color="auto" w:shadow="1"/>
          <w:left w:val="single" w:sz="4" w:space="1" w:color="auto" w:shadow="1"/>
          <w:bottom w:val="single" w:sz="4" w:space="1" w:color="auto" w:shadow="1"/>
          <w:right w:val="single" w:sz="4" w:space="1" w:color="auto" w:shadow="1"/>
        </w:pBdr>
        <w:spacing w:before="100" w:beforeAutospacing="1" w:after="100" w:afterAutospacing="1" w:line="240" w:lineRule="auto"/>
        <w:jc w:val="center"/>
        <w:outlineLvl w:val="2"/>
        <w:rPr>
          <w:rFonts w:ascii="Abadi" w:eastAsia="Times New Roman" w:hAnsi="Abadi" w:cs="Times New Roman"/>
          <w:kern w:val="0"/>
          <w:sz w:val="28"/>
          <w:szCs w:val="28"/>
          <w:lang w:val="en-US"/>
          <w14:ligatures w14:val="none"/>
        </w:rPr>
      </w:pPr>
      <w:bookmarkStart w:id="17" w:name="_Toc170846131"/>
      <w:bookmarkStart w:id="18" w:name="_Toc171959019"/>
      <w:bookmarkStart w:id="19" w:name="_Toc172129334"/>
      <w:bookmarkStart w:id="20" w:name="_Toc172207533"/>
      <w:bookmarkStart w:id="21" w:name="_Toc172554885"/>
      <w:bookmarkStart w:id="22" w:name="_Toc172743806"/>
      <w:r w:rsidRPr="0074459C">
        <w:rPr>
          <w:rFonts w:ascii="Abadi" w:eastAsia="Times New Roman" w:hAnsi="Abadi" w:cs="Times New Roman"/>
          <w:kern w:val="0"/>
          <w:sz w:val="28"/>
          <w:szCs w:val="28"/>
          <w:lang w:val="en-US"/>
          <w14:ligatures w14:val="none"/>
        </w:rPr>
        <w:t xml:space="preserve">We hope, once verified, localized and adapted, it will </w:t>
      </w:r>
      <w:r w:rsidRPr="0074459C">
        <w:rPr>
          <w:rFonts w:ascii="Abadi" w:eastAsia="Times New Roman" w:hAnsi="Abadi" w:cs="Times New Roman"/>
          <w:kern w:val="0"/>
          <w:sz w:val="28"/>
          <w:szCs w:val="28"/>
          <w14:ligatures w14:val="none"/>
        </w:rPr>
        <w:t>lower the</w:t>
      </w:r>
      <w:bookmarkEnd w:id="17"/>
      <w:bookmarkEnd w:id="18"/>
      <w:bookmarkEnd w:id="19"/>
      <w:bookmarkEnd w:id="20"/>
      <w:bookmarkEnd w:id="21"/>
      <w:bookmarkEnd w:id="22"/>
      <w:r w:rsidRPr="0074459C">
        <w:rPr>
          <w:rFonts w:ascii="Abadi" w:eastAsia="Times New Roman" w:hAnsi="Abadi" w:cs="Times New Roman"/>
          <w:kern w:val="0"/>
          <w:sz w:val="28"/>
          <w:szCs w:val="28"/>
          <w14:ligatures w14:val="none"/>
        </w:rPr>
        <w:t xml:space="preserve"> </w:t>
      </w:r>
    </w:p>
    <w:p w14:paraId="7CB5F08F" w14:textId="3EFC541A" w:rsidR="00530A5F" w:rsidRPr="007B445F" w:rsidRDefault="006860BD" w:rsidP="007B445F">
      <w:pPr>
        <w:pBdr>
          <w:top w:val="single" w:sz="4" w:space="1" w:color="auto" w:shadow="1"/>
          <w:left w:val="single" w:sz="4" w:space="1" w:color="auto" w:shadow="1"/>
          <w:bottom w:val="single" w:sz="4" w:space="1" w:color="auto" w:shadow="1"/>
          <w:right w:val="single" w:sz="4" w:space="1" w:color="auto" w:shadow="1"/>
        </w:pBdr>
        <w:jc w:val="center"/>
        <w:rPr>
          <w:rFonts w:ascii="Abadi" w:eastAsia="Times New Roman" w:hAnsi="Abadi" w:cs="Times New Roman"/>
          <w:kern w:val="0"/>
          <w:sz w:val="28"/>
          <w:szCs w:val="28"/>
          <w:lang w:val="en-US"/>
          <w14:ligatures w14:val="none"/>
        </w:rPr>
      </w:pPr>
      <w:r w:rsidRPr="0074459C">
        <w:rPr>
          <w:rFonts w:ascii="Abadi" w:eastAsia="Times New Roman" w:hAnsi="Abadi" w:cs="Times New Roman"/>
          <w:kern w:val="0"/>
          <w:sz w:val="28"/>
          <w:szCs w:val="28"/>
          <w14:ligatures w14:val="none"/>
        </w:rPr>
        <w:t xml:space="preserve">"COST </w:t>
      </w:r>
      <w:r>
        <w:rPr>
          <w:rFonts w:ascii="Abadi" w:eastAsia="Times New Roman" w:hAnsi="Abadi" w:cs="Times New Roman"/>
          <w:kern w:val="0"/>
          <w:sz w:val="28"/>
          <w:szCs w:val="28"/>
          <w14:ligatures w14:val="none"/>
        </w:rPr>
        <w:t>T</w:t>
      </w:r>
      <w:r w:rsidRPr="0074459C">
        <w:rPr>
          <w:rFonts w:ascii="Abadi" w:eastAsia="Times New Roman" w:hAnsi="Abadi" w:cs="Times New Roman"/>
          <w:kern w:val="0"/>
          <w:sz w:val="28"/>
          <w:szCs w:val="28"/>
          <w14:ligatures w14:val="none"/>
        </w:rPr>
        <w:t xml:space="preserve">O THINK </w:t>
      </w:r>
      <w:r>
        <w:rPr>
          <w:rFonts w:ascii="Abadi" w:eastAsia="Times New Roman" w:hAnsi="Abadi" w:cs="Times New Roman"/>
          <w:kern w:val="0"/>
          <w:sz w:val="28"/>
          <w:szCs w:val="28"/>
          <w14:ligatures w14:val="none"/>
        </w:rPr>
        <w:t>&amp;</w:t>
      </w:r>
      <w:r w:rsidRPr="0074459C">
        <w:rPr>
          <w:rFonts w:ascii="Abadi" w:eastAsia="Times New Roman" w:hAnsi="Abadi" w:cs="Times New Roman"/>
          <w:kern w:val="0"/>
          <w:sz w:val="28"/>
          <w:szCs w:val="28"/>
          <w14:ligatures w14:val="none"/>
        </w:rPr>
        <w:t xml:space="preserve"> START" PLANNING </w:t>
      </w:r>
      <w:r>
        <w:rPr>
          <w:rFonts w:ascii="Abadi" w:eastAsia="Times New Roman" w:hAnsi="Abadi" w:cs="Times New Roman"/>
          <w:kern w:val="0"/>
          <w:sz w:val="28"/>
          <w:szCs w:val="28"/>
          <w14:ligatures w14:val="none"/>
        </w:rPr>
        <w:t xml:space="preserve">FOR </w:t>
      </w:r>
      <w:r w:rsidRPr="0074459C">
        <w:rPr>
          <w:rFonts w:ascii="Abadi" w:eastAsia="Times New Roman" w:hAnsi="Abadi" w:cs="Times New Roman"/>
          <w:kern w:val="0"/>
          <w:sz w:val="28"/>
          <w:szCs w:val="28"/>
          <w:lang w:val="en-US"/>
          <w14:ligatures w14:val="none"/>
        </w:rPr>
        <w:t xml:space="preserve">BUILDING </w:t>
      </w:r>
      <w:r w:rsidR="009F00DA">
        <w:rPr>
          <w:rFonts w:ascii="Abadi" w:eastAsia="Times New Roman" w:hAnsi="Abadi" w:cs="Times New Roman"/>
          <w:kern w:val="0"/>
          <w:sz w:val="28"/>
          <w:szCs w:val="28"/>
          <w:lang w:val="en-US"/>
          <w14:ligatures w14:val="none"/>
        </w:rPr>
        <w:t>GAZA</w:t>
      </w:r>
      <w:r w:rsidRPr="0074459C">
        <w:rPr>
          <w:rFonts w:ascii="Abadi" w:eastAsia="Times New Roman" w:hAnsi="Abadi" w:cs="Times New Roman"/>
          <w:kern w:val="0"/>
          <w:sz w:val="28"/>
          <w:szCs w:val="28"/>
          <w:lang w:val="en-US"/>
          <w14:ligatures w14:val="none"/>
        </w:rPr>
        <w:t xml:space="preserve"> FUTURE</w:t>
      </w:r>
      <w:r w:rsidR="007B445F">
        <w:rPr>
          <w:rFonts w:ascii="Abadi" w:eastAsia="Times New Roman" w:hAnsi="Abadi" w:cs="Times New Roman"/>
          <w:kern w:val="0"/>
          <w:sz w:val="28"/>
          <w:szCs w:val="28"/>
          <w:lang w:val="en-US"/>
          <w14:ligatures w14:val="none"/>
        </w:rPr>
        <w:br/>
      </w:r>
    </w:p>
    <w:p w14:paraId="698A38D1" w14:textId="63B5CD3E" w:rsidR="00B813D7" w:rsidRPr="00530A5F" w:rsidRDefault="00B813D7" w:rsidP="00530A5F">
      <w:pPr>
        <w:pBdr>
          <w:top w:val="single" w:sz="4" w:space="1" w:color="auto" w:shadow="1"/>
          <w:left w:val="single" w:sz="4" w:space="4" w:color="auto" w:shadow="1"/>
          <w:bottom w:val="single" w:sz="4" w:space="1" w:color="auto" w:shadow="1"/>
          <w:right w:val="single" w:sz="4" w:space="4" w:color="auto" w:shadow="1"/>
        </w:pBdr>
        <w:spacing w:before="100" w:beforeAutospacing="1" w:after="100" w:afterAutospacing="1" w:line="240" w:lineRule="auto"/>
        <w:outlineLvl w:val="2"/>
        <w:rPr>
          <w:rFonts w:ascii="Abadi" w:eastAsia="Times New Roman" w:hAnsi="Abadi" w:cs="Times New Roman"/>
          <w:kern w:val="0"/>
          <w:sz w:val="27"/>
          <w:szCs w:val="27"/>
          <w:lang w:val="en-US"/>
          <w14:ligatures w14:val="none"/>
        </w:rPr>
      </w:pPr>
      <w:r w:rsidRPr="00FA5304">
        <w:rPr>
          <w:rFonts w:ascii="Abadi" w:eastAsia="Times New Roman" w:hAnsi="Abadi" w:cs="Times New Roman"/>
          <w:b/>
          <w:bCs/>
          <w:kern w:val="0"/>
          <w:sz w:val="27"/>
          <w:szCs w:val="27"/>
          <w:highlight w:val="yellow"/>
          <w:lang w:val="en-US"/>
          <w14:ligatures w14:val="none"/>
        </w:rPr>
        <w:br w:type="page"/>
      </w:r>
    </w:p>
    <w:sdt>
      <w:sdtPr>
        <w:rPr>
          <w:rFonts w:asciiTheme="minorHAnsi" w:eastAsiaTheme="minorHAnsi" w:hAnsiTheme="minorHAnsi" w:cstheme="minorBidi"/>
          <w:color w:val="auto"/>
          <w:kern w:val="2"/>
          <w:sz w:val="22"/>
          <w:szCs w:val="22"/>
          <w:lang w:val="en-AE"/>
          <w14:ligatures w14:val="standardContextual"/>
        </w:rPr>
        <w:id w:val="-2079737336"/>
        <w:docPartObj>
          <w:docPartGallery w:val="Table of Contents"/>
          <w:docPartUnique/>
        </w:docPartObj>
      </w:sdtPr>
      <w:sdtEndPr>
        <w:rPr>
          <w:b/>
          <w:bCs/>
          <w:noProof/>
        </w:rPr>
      </w:sdtEndPr>
      <w:sdtContent>
        <w:p w14:paraId="76B2A5DB" w14:textId="77777777" w:rsidR="00B813D7" w:rsidRPr="003738B3" w:rsidRDefault="00B813D7" w:rsidP="00B813D7">
          <w:pPr>
            <w:pStyle w:val="TOCHeading"/>
            <w:rPr>
              <w:rFonts w:ascii="Abadi" w:hAnsi="Abadi"/>
              <w:color w:val="auto"/>
              <w:sz w:val="28"/>
              <w:szCs w:val="28"/>
            </w:rPr>
          </w:pPr>
          <w:r w:rsidRPr="003738B3">
            <w:rPr>
              <w:rFonts w:ascii="Abadi" w:hAnsi="Abadi"/>
              <w:color w:val="auto"/>
              <w:sz w:val="28"/>
              <w:szCs w:val="28"/>
            </w:rPr>
            <w:t>Contents</w:t>
          </w:r>
        </w:p>
        <w:p w14:paraId="31C03949" w14:textId="09B6941A" w:rsidR="000A7DAB" w:rsidRDefault="00B813D7" w:rsidP="000A7DAB">
          <w:pPr>
            <w:pStyle w:val="TOC3"/>
            <w:tabs>
              <w:tab w:val="right" w:leader="dot" w:pos="9016"/>
            </w:tabs>
            <w:rPr>
              <w:rFonts w:eastAsiaTheme="minorEastAsia"/>
              <w:noProof/>
              <w:sz w:val="24"/>
              <w:szCs w:val="24"/>
              <w:lang w:eastAsia="en-AE"/>
            </w:rPr>
          </w:pPr>
          <w:r>
            <w:rPr>
              <w:rFonts w:ascii="Abadi" w:eastAsia="Times New Roman" w:hAnsi="Abadi" w:cs="Times New Roman"/>
              <w:kern w:val="0"/>
              <w14:ligatures w14:val="none"/>
            </w:rPr>
            <w:fldChar w:fldCharType="begin"/>
          </w:r>
          <w:r>
            <w:instrText xml:space="preserve"> TOC \o "1-3" \h \z \u </w:instrText>
          </w:r>
          <w:r>
            <w:rPr>
              <w:rFonts w:ascii="Abadi" w:eastAsia="Times New Roman" w:hAnsi="Abadi" w:cs="Times New Roman"/>
              <w:kern w:val="0"/>
              <w14:ligatures w14:val="none"/>
            </w:rPr>
            <w:fldChar w:fldCharType="separate"/>
          </w:r>
        </w:p>
        <w:p w14:paraId="36627685" w14:textId="74FC7D58" w:rsidR="000A7DAB" w:rsidRDefault="000A7DAB">
          <w:pPr>
            <w:pStyle w:val="TOC1"/>
            <w:tabs>
              <w:tab w:val="right" w:leader="dot" w:pos="9016"/>
            </w:tabs>
            <w:rPr>
              <w:rFonts w:eastAsiaTheme="minorEastAsia"/>
              <w:noProof/>
              <w:sz w:val="24"/>
              <w:szCs w:val="24"/>
              <w:lang w:eastAsia="en-AE"/>
            </w:rPr>
          </w:pPr>
          <w:r w:rsidRPr="00E60E60">
            <w:rPr>
              <w:rStyle w:val="Hyperlink"/>
              <w:noProof/>
              <w:color w:val="auto"/>
              <w:u w:val="none"/>
            </w:rPr>
            <w:t xml:space="preserve">1. </w:t>
          </w:r>
          <w:hyperlink w:anchor="_Toc172743807" w:history="1">
            <w:r w:rsidRPr="00C8793C">
              <w:rPr>
                <w:rStyle w:val="Hyperlink"/>
                <w:rFonts w:eastAsia="Times New Roman"/>
                <w:noProof/>
                <w:lang w:eastAsia="en-AE"/>
              </w:rPr>
              <w:t>STEM Education vs. Humanities and Social Sciences</w:t>
            </w:r>
            <w:r>
              <w:rPr>
                <w:noProof/>
                <w:webHidden/>
              </w:rPr>
              <w:tab/>
            </w:r>
            <w:r>
              <w:rPr>
                <w:noProof/>
                <w:webHidden/>
              </w:rPr>
              <w:fldChar w:fldCharType="begin"/>
            </w:r>
            <w:r>
              <w:rPr>
                <w:noProof/>
                <w:webHidden/>
              </w:rPr>
              <w:instrText xml:space="preserve"> PAGEREF _Toc172743807 \h </w:instrText>
            </w:r>
            <w:r>
              <w:rPr>
                <w:noProof/>
                <w:webHidden/>
              </w:rPr>
            </w:r>
            <w:r>
              <w:rPr>
                <w:noProof/>
                <w:webHidden/>
              </w:rPr>
              <w:fldChar w:fldCharType="separate"/>
            </w:r>
            <w:r w:rsidR="00347CBC">
              <w:rPr>
                <w:noProof/>
                <w:webHidden/>
              </w:rPr>
              <w:t>4</w:t>
            </w:r>
            <w:r>
              <w:rPr>
                <w:noProof/>
                <w:webHidden/>
              </w:rPr>
              <w:fldChar w:fldCharType="end"/>
            </w:r>
          </w:hyperlink>
        </w:p>
        <w:p w14:paraId="7A698D5A" w14:textId="044A3BAE" w:rsidR="000A7DAB" w:rsidRDefault="000A7DAB">
          <w:pPr>
            <w:pStyle w:val="TOC1"/>
            <w:tabs>
              <w:tab w:val="right" w:leader="dot" w:pos="9016"/>
            </w:tabs>
            <w:rPr>
              <w:rFonts w:eastAsiaTheme="minorEastAsia"/>
              <w:noProof/>
              <w:sz w:val="24"/>
              <w:szCs w:val="24"/>
              <w:lang w:eastAsia="en-AE"/>
            </w:rPr>
          </w:pPr>
          <w:hyperlink w:anchor="_Toc172743808" w:history="1">
            <w:r>
              <w:rPr>
                <w:rStyle w:val="Hyperlink"/>
                <w:rFonts w:eastAsia="Times New Roman"/>
                <w:noProof/>
                <w:lang w:eastAsia="en-AE"/>
              </w:rPr>
              <w:t xml:space="preserve">2. </w:t>
            </w:r>
            <w:r w:rsidRPr="00C8793C">
              <w:rPr>
                <w:rStyle w:val="Hyperlink"/>
                <w:rFonts w:eastAsia="Times New Roman"/>
                <w:noProof/>
                <w:lang w:eastAsia="en-AE"/>
              </w:rPr>
              <w:t>Local Faculty Development vs. International Scholars</w:t>
            </w:r>
            <w:r>
              <w:rPr>
                <w:noProof/>
                <w:webHidden/>
              </w:rPr>
              <w:tab/>
            </w:r>
            <w:r>
              <w:rPr>
                <w:noProof/>
                <w:webHidden/>
              </w:rPr>
              <w:fldChar w:fldCharType="begin"/>
            </w:r>
            <w:r>
              <w:rPr>
                <w:noProof/>
                <w:webHidden/>
              </w:rPr>
              <w:instrText xml:space="preserve"> PAGEREF _Toc172743808 \h </w:instrText>
            </w:r>
            <w:r>
              <w:rPr>
                <w:noProof/>
                <w:webHidden/>
              </w:rPr>
            </w:r>
            <w:r>
              <w:rPr>
                <w:noProof/>
                <w:webHidden/>
              </w:rPr>
              <w:fldChar w:fldCharType="separate"/>
            </w:r>
            <w:r w:rsidR="00347CBC">
              <w:rPr>
                <w:noProof/>
                <w:webHidden/>
              </w:rPr>
              <w:t>10</w:t>
            </w:r>
            <w:r>
              <w:rPr>
                <w:noProof/>
                <w:webHidden/>
              </w:rPr>
              <w:fldChar w:fldCharType="end"/>
            </w:r>
          </w:hyperlink>
        </w:p>
        <w:p w14:paraId="3E60A903" w14:textId="67D21121" w:rsidR="000A7DAB" w:rsidRDefault="000A7DAB">
          <w:pPr>
            <w:pStyle w:val="TOC1"/>
            <w:tabs>
              <w:tab w:val="right" w:leader="dot" w:pos="9016"/>
            </w:tabs>
            <w:rPr>
              <w:rFonts w:eastAsiaTheme="minorEastAsia"/>
              <w:noProof/>
              <w:sz w:val="24"/>
              <w:szCs w:val="24"/>
              <w:lang w:eastAsia="en-AE"/>
            </w:rPr>
          </w:pPr>
          <w:hyperlink w:anchor="_Toc172743809" w:history="1">
            <w:r>
              <w:rPr>
                <w:rStyle w:val="Hyperlink"/>
                <w:rFonts w:eastAsia="Times New Roman"/>
                <w:noProof/>
                <w:lang w:eastAsia="en-AE"/>
              </w:rPr>
              <w:t xml:space="preserve">3. </w:t>
            </w:r>
            <w:r w:rsidRPr="00C8793C">
              <w:rPr>
                <w:rStyle w:val="Hyperlink"/>
                <w:rFonts w:eastAsia="Times New Roman"/>
                <w:noProof/>
                <w:lang w:eastAsia="en-AE"/>
              </w:rPr>
              <w:t>Research and Development vs. Employment Training</w:t>
            </w:r>
            <w:r>
              <w:rPr>
                <w:noProof/>
                <w:webHidden/>
              </w:rPr>
              <w:tab/>
            </w:r>
            <w:r>
              <w:rPr>
                <w:noProof/>
                <w:webHidden/>
              </w:rPr>
              <w:fldChar w:fldCharType="begin"/>
            </w:r>
            <w:r>
              <w:rPr>
                <w:noProof/>
                <w:webHidden/>
              </w:rPr>
              <w:instrText xml:space="preserve"> PAGEREF _Toc172743809 \h </w:instrText>
            </w:r>
            <w:r>
              <w:rPr>
                <w:noProof/>
                <w:webHidden/>
              </w:rPr>
            </w:r>
            <w:r>
              <w:rPr>
                <w:noProof/>
                <w:webHidden/>
              </w:rPr>
              <w:fldChar w:fldCharType="separate"/>
            </w:r>
            <w:r w:rsidR="00347CBC">
              <w:rPr>
                <w:noProof/>
                <w:webHidden/>
              </w:rPr>
              <w:t>17</w:t>
            </w:r>
            <w:r>
              <w:rPr>
                <w:noProof/>
                <w:webHidden/>
              </w:rPr>
              <w:fldChar w:fldCharType="end"/>
            </w:r>
          </w:hyperlink>
        </w:p>
        <w:p w14:paraId="1D40A08C" w14:textId="6035D82F" w:rsidR="000A7DAB" w:rsidRDefault="000A7DAB">
          <w:pPr>
            <w:pStyle w:val="TOC1"/>
            <w:tabs>
              <w:tab w:val="right" w:leader="dot" w:pos="9016"/>
            </w:tabs>
            <w:rPr>
              <w:rFonts w:eastAsiaTheme="minorEastAsia"/>
              <w:noProof/>
              <w:sz w:val="24"/>
              <w:szCs w:val="24"/>
              <w:lang w:eastAsia="en-AE"/>
            </w:rPr>
          </w:pPr>
          <w:hyperlink w:anchor="_Toc172743810" w:history="1">
            <w:r>
              <w:rPr>
                <w:rStyle w:val="Hyperlink"/>
                <w:rFonts w:eastAsia="Times New Roman"/>
                <w:noProof/>
                <w:lang w:eastAsia="en-AE"/>
              </w:rPr>
              <w:t xml:space="preserve">4. </w:t>
            </w:r>
            <w:r w:rsidRPr="00C8793C">
              <w:rPr>
                <w:rStyle w:val="Hyperlink"/>
                <w:rFonts w:eastAsia="Times New Roman"/>
                <w:noProof/>
                <w:lang w:eastAsia="en-AE"/>
              </w:rPr>
              <w:t>Admission Standards vs. Open Access</w:t>
            </w:r>
            <w:r>
              <w:rPr>
                <w:noProof/>
                <w:webHidden/>
              </w:rPr>
              <w:tab/>
            </w:r>
            <w:r>
              <w:rPr>
                <w:noProof/>
                <w:webHidden/>
              </w:rPr>
              <w:fldChar w:fldCharType="begin"/>
            </w:r>
            <w:r>
              <w:rPr>
                <w:noProof/>
                <w:webHidden/>
              </w:rPr>
              <w:instrText xml:space="preserve"> PAGEREF _Toc172743810 \h </w:instrText>
            </w:r>
            <w:r>
              <w:rPr>
                <w:noProof/>
                <w:webHidden/>
              </w:rPr>
            </w:r>
            <w:r>
              <w:rPr>
                <w:noProof/>
                <w:webHidden/>
              </w:rPr>
              <w:fldChar w:fldCharType="separate"/>
            </w:r>
            <w:r w:rsidR="00347CBC">
              <w:rPr>
                <w:noProof/>
                <w:webHidden/>
              </w:rPr>
              <w:t>23</w:t>
            </w:r>
            <w:r>
              <w:rPr>
                <w:noProof/>
                <w:webHidden/>
              </w:rPr>
              <w:fldChar w:fldCharType="end"/>
            </w:r>
          </w:hyperlink>
        </w:p>
        <w:p w14:paraId="535BE723" w14:textId="59B5467C" w:rsidR="000A7DAB" w:rsidRDefault="000A7DAB">
          <w:pPr>
            <w:pStyle w:val="TOC1"/>
            <w:tabs>
              <w:tab w:val="right" w:leader="dot" w:pos="9016"/>
            </w:tabs>
            <w:rPr>
              <w:rFonts w:eastAsiaTheme="minorEastAsia"/>
              <w:noProof/>
              <w:sz w:val="24"/>
              <w:szCs w:val="24"/>
              <w:lang w:eastAsia="en-AE"/>
            </w:rPr>
          </w:pPr>
          <w:hyperlink w:anchor="_Toc172743811" w:history="1">
            <w:r>
              <w:rPr>
                <w:rStyle w:val="Hyperlink"/>
                <w:rFonts w:eastAsia="Times New Roman"/>
                <w:noProof/>
                <w:lang w:eastAsia="en-AE"/>
              </w:rPr>
              <w:t xml:space="preserve">5. </w:t>
            </w:r>
            <w:r w:rsidRPr="00C8793C">
              <w:rPr>
                <w:rStyle w:val="Hyperlink"/>
                <w:rFonts w:eastAsia="Times New Roman"/>
                <w:noProof/>
                <w:lang w:eastAsia="en-AE"/>
              </w:rPr>
              <w:t>Student Activism vs. Academic Neutrality</w:t>
            </w:r>
            <w:r>
              <w:rPr>
                <w:noProof/>
                <w:webHidden/>
              </w:rPr>
              <w:tab/>
            </w:r>
            <w:r>
              <w:rPr>
                <w:noProof/>
                <w:webHidden/>
              </w:rPr>
              <w:fldChar w:fldCharType="begin"/>
            </w:r>
            <w:r>
              <w:rPr>
                <w:noProof/>
                <w:webHidden/>
              </w:rPr>
              <w:instrText xml:space="preserve"> PAGEREF _Toc172743811 \h </w:instrText>
            </w:r>
            <w:r>
              <w:rPr>
                <w:noProof/>
                <w:webHidden/>
              </w:rPr>
            </w:r>
            <w:r>
              <w:rPr>
                <w:noProof/>
                <w:webHidden/>
              </w:rPr>
              <w:fldChar w:fldCharType="separate"/>
            </w:r>
            <w:r w:rsidR="00347CBC">
              <w:rPr>
                <w:noProof/>
                <w:webHidden/>
              </w:rPr>
              <w:t>30</w:t>
            </w:r>
            <w:r>
              <w:rPr>
                <w:noProof/>
                <w:webHidden/>
              </w:rPr>
              <w:fldChar w:fldCharType="end"/>
            </w:r>
          </w:hyperlink>
        </w:p>
        <w:p w14:paraId="26C43E83" w14:textId="07BF001C" w:rsidR="00B813D7" w:rsidRPr="0072081F" w:rsidRDefault="00B813D7" w:rsidP="0072081F">
          <w:pPr>
            <w:pStyle w:val="TOC1"/>
            <w:tabs>
              <w:tab w:val="right" w:leader="dot" w:pos="9016"/>
            </w:tabs>
            <w:rPr>
              <w:rFonts w:eastAsiaTheme="minorEastAsia"/>
              <w:noProof/>
              <w:sz w:val="24"/>
              <w:szCs w:val="24"/>
              <w:lang w:eastAsia="en-AE"/>
            </w:rPr>
          </w:pPr>
          <w:r>
            <w:rPr>
              <w:b/>
              <w:bCs/>
              <w:noProof/>
            </w:rPr>
            <w:fldChar w:fldCharType="end"/>
          </w:r>
        </w:p>
      </w:sdtContent>
    </w:sdt>
    <w:p w14:paraId="6C416A57" w14:textId="3FED5B1E" w:rsidR="003B70BD" w:rsidRDefault="003B70BD">
      <w:pPr>
        <w:rPr>
          <w:rFonts w:ascii="Abadi" w:eastAsia="Times New Roman" w:hAnsi="Abadi" w:cs="Times New Roman"/>
          <w:b/>
          <w:bCs/>
          <w:color w:val="E4312B"/>
          <w:kern w:val="0"/>
          <w:sz w:val="28"/>
          <w:szCs w:val="28"/>
          <w14:ligatures w14:val="none"/>
        </w:rPr>
      </w:pPr>
      <w:r>
        <w:rPr>
          <w:rFonts w:ascii="Abadi" w:eastAsia="Times New Roman" w:hAnsi="Abadi" w:cs="Times New Roman"/>
          <w:b/>
          <w:bCs/>
          <w:color w:val="E4312B"/>
          <w:kern w:val="0"/>
          <w:sz w:val="28"/>
          <w:szCs w:val="28"/>
          <w14:ligatures w14:val="none"/>
        </w:rPr>
        <w:br w:type="page"/>
      </w:r>
    </w:p>
    <w:p w14:paraId="512D34F6" w14:textId="77777777" w:rsidR="003B70BD" w:rsidRPr="003B70BD" w:rsidRDefault="003B70BD" w:rsidP="0048796E">
      <w:pPr>
        <w:pStyle w:val="Heading1"/>
        <w:pBdr>
          <w:bottom w:val="single" w:sz="4" w:space="1" w:color="auto"/>
        </w:pBdr>
        <w:rPr>
          <w:rFonts w:eastAsia="Aptos"/>
        </w:rPr>
      </w:pPr>
      <w:bookmarkStart w:id="23" w:name="_Toc172743807"/>
      <w:r w:rsidRPr="003B70BD">
        <w:rPr>
          <w:rFonts w:eastAsia="Times New Roman"/>
          <w:lang w:eastAsia="en-AE"/>
        </w:rPr>
        <w:lastRenderedPageBreak/>
        <w:t>Debate Topic 1: STEM Education vs. Humanities and Social Sciences</w:t>
      </w:r>
      <w:bookmarkEnd w:id="23"/>
      <w:r w:rsidRPr="003B70BD">
        <w:rPr>
          <w:rFonts w:eastAsia="Times New Roman"/>
          <w:lang w:eastAsia="en-AE"/>
        </w:rPr>
        <w:br/>
      </w:r>
    </w:p>
    <w:p w14:paraId="4E55AC11" w14:textId="77777777" w:rsidR="003B70BD" w:rsidRPr="003B70BD" w:rsidRDefault="003B70BD" w:rsidP="003B70BD">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sidRPr="003B70BD">
        <w:rPr>
          <w:rFonts w:ascii="Abadi" w:eastAsia="Times New Roman" w:hAnsi="Abadi" w:cs="Times New Roman"/>
          <w:b/>
          <w:bCs/>
          <w:kern w:val="0"/>
          <w:sz w:val="28"/>
          <w:szCs w:val="28"/>
          <w:lang w:eastAsia="en-AE"/>
          <w14:ligatures w14:val="none"/>
        </w:rPr>
        <w:t>Debate Topic Overview</w:t>
      </w:r>
    </w:p>
    <w:p w14:paraId="47B6D4D4" w14:textId="77777777" w:rsidR="003B70BD" w:rsidRPr="003B70BD" w:rsidRDefault="003B70BD" w:rsidP="003B70BD">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3B70BD">
        <w:rPr>
          <w:rFonts w:ascii="Abadi" w:eastAsia="Times New Roman" w:hAnsi="Abadi" w:cs="Times New Roman"/>
          <w:kern w:val="0"/>
          <w:sz w:val="28"/>
          <w:szCs w:val="28"/>
          <w:lang w:eastAsia="en-AE"/>
          <w14:ligatures w14:val="none"/>
        </w:rPr>
        <w:t xml:space="preserve">The debate </w:t>
      </w:r>
      <w:proofErr w:type="spellStart"/>
      <w:r w:rsidRPr="003B70BD">
        <w:rPr>
          <w:rFonts w:ascii="Abadi" w:eastAsia="Times New Roman" w:hAnsi="Abadi" w:cs="Times New Roman"/>
          <w:kern w:val="0"/>
          <w:sz w:val="28"/>
          <w:szCs w:val="28"/>
          <w:lang w:eastAsia="en-AE"/>
          <w14:ligatures w14:val="none"/>
        </w:rPr>
        <w:t>centers</w:t>
      </w:r>
      <w:proofErr w:type="spellEnd"/>
      <w:r w:rsidRPr="003B70BD">
        <w:rPr>
          <w:rFonts w:ascii="Abadi" w:eastAsia="Times New Roman" w:hAnsi="Abadi" w:cs="Times New Roman"/>
          <w:kern w:val="0"/>
          <w:sz w:val="28"/>
          <w:szCs w:val="28"/>
          <w:lang w:eastAsia="en-AE"/>
          <w14:ligatures w14:val="none"/>
        </w:rPr>
        <w:t xml:space="preserve"> around whether universities in Gaza should prioritize STEM (Science, Technology, Engineering, and Mathematics) education over Humanities and Social Sciences. This issue is crucial in shaping the future workforce, addressing immediate post-conflict rebuilding needs, and ensuring a well-rounded educational approach. Advocates for STEM education argue that it is essential for technological advancement, economic development, and rebuilding infrastructure. On the other hand, proponents of Humanities and Social Sciences emphasize the importance of understanding cultural heritage, fostering critical thinking, and addressing social issues.</w:t>
      </w:r>
    </w:p>
    <w:p w14:paraId="4C0F9BE3" w14:textId="77777777" w:rsidR="003B70BD" w:rsidRPr="003B70BD" w:rsidRDefault="003B70BD" w:rsidP="003B70BD">
      <w:pPr>
        <w:spacing w:line="256" w:lineRule="auto"/>
        <w:rPr>
          <w:rFonts w:ascii="Abadi" w:eastAsia="Aptos" w:hAnsi="Abadi" w:cs="Times New Roman"/>
          <w:b/>
          <w:bCs/>
          <w:sz w:val="28"/>
          <w:szCs w:val="28"/>
        </w:rPr>
      </w:pPr>
      <w:r w:rsidRPr="003B70BD">
        <w:rPr>
          <w:rFonts w:ascii="Abadi" w:eastAsia="Aptos" w:hAnsi="Abadi" w:cs="Times New Roman"/>
          <w:b/>
          <w:bCs/>
          <w:sz w:val="28"/>
          <w:szCs w:val="28"/>
        </w:rPr>
        <w:t>Moderator's Presentation</w:t>
      </w:r>
    </w:p>
    <w:p w14:paraId="0DDC2943" w14:textId="77777777" w:rsidR="003B70BD" w:rsidRPr="003B70BD" w:rsidRDefault="003B70BD" w:rsidP="003B70BD">
      <w:pPr>
        <w:numPr>
          <w:ilvl w:val="0"/>
          <w:numId w:val="21"/>
        </w:numPr>
        <w:tabs>
          <w:tab w:val="num" w:pos="720"/>
        </w:tabs>
        <w:spacing w:line="256" w:lineRule="auto"/>
        <w:rPr>
          <w:rFonts w:ascii="Abadi" w:eastAsia="Aptos" w:hAnsi="Abadi" w:cs="Times New Roman"/>
          <w:sz w:val="28"/>
          <w:szCs w:val="28"/>
        </w:rPr>
      </w:pPr>
      <w:r w:rsidRPr="003B70BD">
        <w:rPr>
          <w:rFonts w:ascii="Abadi" w:eastAsia="Aptos" w:hAnsi="Abadi" w:cs="Times New Roman"/>
          <w:b/>
          <w:bCs/>
          <w:sz w:val="28"/>
          <w:szCs w:val="28"/>
        </w:rPr>
        <w:t>Historical Context of Education in Gaza</w:t>
      </w:r>
      <w:r w:rsidRPr="003B70BD">
        <w:rPr>
          <w:rFonts w:ascii="Abadi" w:eastAsia="Aptos" w:hAnsi="Abadi" w:cs="Times New Roman"/>
          <w:sz w:val="28"/>
          <w:szCs w:val="28"/>
        </w:rPr>
        <w:t>: Universities in Gaza have historically balanced between technical education and liberal arts, aiming to produce well-rounded graduates. However, the continuous military actions and occupation have severely impacted the educational infrastructure and priorities.</w:t>
      </w:r>
    </w:p>
    <w:p w14:paraId="5227A1FE" w14:textId="77777777" w:rsidR="003B70BD" w:rsidRPr="003B70BD" w:rsidRDefault="003B70BD" w:rsidP="003B70BD">
      <w:pPr>
        <w:numPr>
          <w:ilvl w:val="0"/>
          <w:numId w:val="21"/>
        </w:numPr>
        <w:tabs>
          <w:tab w:val="num" w:pos="720"/>
        </w:tabs>
        <w:spacing w:line="256" w:lineRule="auto"/>
        <w:rPr>
          <w:rFonts w:ascii="Abadi" w:eastAsia="Aptos" w:hAnsi="Abadi" w:cs="Times New Roman"/>
          <w:sz w:val="28"/>
          <w:szCs w:val="28"/>
        </w:rPr>
      </w:pPr>
      <w:r w:rsidRPr="003B70BD">
        <w:rPr>
          <w:rFonts w:ascii="Abadi" w:eastAsia="Aptos" w:hAnsi="Abadi" w:cs="Times New Roman"/>
          <w:b/>
          <w:bCs/>
          <w:sz w:val="28"/>
          <w:szCs w:val="28"/>
        </w:rPr>
        <w:t>Current State of University Education</w:t>
      </w:r>
      <w:r w:rsidRPr="003B70BD">
        <w:rPr>
          <w:rFonts w:ascii="Abadi" w:eastAsia="Aptos" w:hAnsi="Abadi" w:cs="Times New Roman"/>
          <w:sz w:val="28"/>
          <w:szCs w:val="28"/>
        </w:rPr>
        <w:t>: Presently, Gaza’s universities face significant challenges including damaged facilities, limited resources, and interrupted academic programs. Rebuilding efforts necessitate a strategic approach to education that meets both immediate and long-term needs.</w:t>
      </w:r>
    </w:p>
    <w:p w14:paraId="557E5F05" w14:textId="77777777" w:rsidR="003B70BD" w:rsidRPr="003B70BD" w:rsidRDefault="003B70BD" w:rsidP="003B70BD">
      <w:pPr>
        <w:numPr>
          <w:ilvl w:val="0"/>
          <w:numId w:val="21"/>
        </w:numPr>
        <w:tabs>
          <w:tab w:val="num" w:pos="720"/>
        </w:tabs>
        <w:spacing w:line="256" w:lineRule="auto"/>
        <w:rPr>
          <w:rFonts w:ascii="Abadi" w:eastAsia="Aptos" w:hAnsi="Abadi" w:cs="Times New Roman"/>
          <w:sz w:val="28"/>
          <w:szCs w:val="28"/>
        </w:rPr>
      </w:pPr>
      <w:r w:rsidRPr="003B70BD">
        <w:rPr>
          <w:rFonts w:ascii="Abadi" w:eastAsia="Aptos" w:hAnsi="Abadi" w:cs="Times New Roman"/>
          <w:b/>
          <w:bCs/>
          <w:sz w:val="28"/>
          <w:szCs w:val="28"/>
        </w:rPr>
        <w:t>Importance of STEM Education</w:t>
      </w:r>
      <w:r w:rsidRPr="003B70BD">
        <w:rPr>
          <w:rFonts w:ascii="Abadi" w:eastAsia="Aptos" w:hAnsi="Abadi" w:cs="Times New Roman"/>
          <w:sz w:val="28"/>
          <w:szCs w:val="28"/>
        </w:rPr>
        <w:t>: STEM education is critical for developing skills in science, technology, engineering, and mathematics, which are essential for rebuilding infrastructure, advancing technology, and fostering economic growth. Post-war reconstruction efforts require a workforce proficient in these fields to design, build, and maintain new structures and systems.</w:t>
      </w:r>
    </w:p>
    <w:p w14:paraId="6C10232C" w14:textId="77777777" w:rsidR="003B70BD" w:rsidRPr="003B70BD" w:rsidRDefault="003B70BD" w:rsidP="003B70BD">
      <w:pPr>
        <w:numPr>
          <w:ilvl w:val="0"/>
          <w:numId w:val="21"/>
        </w:numPr>
        <w:tabs>
          <w:tab w:val="num" w:pos="720"/>
        </w:tabs>
        <w:spacing w:line="256" w:lineRule="auto"/>
        <w:rPr>
          <w:rFonts w:ascii="Abadi" w:eastAsia="Aptos" w:hAnsi="Abadi" w:cs="Times New Roman"/>
          <w:sz w:val="28"/>
          <w:szCs w:val="28"/>
        </w:rPr>
      </w:pPr>
      <w:r w:rsidRPr="003B70BD">
        <w:rPr>
          <w:rFonts w:ascii="Abadi" w:eastAsia="Aptos" w:hAnsi="Abadi" w:cs="Times New Roman"/>
          <w:b/>
          <w:bCs/>
          <w:sz w:val="28"/>
          <w:szCs w:val="28"/>
        </w:rPr>
        <w:t>Economic Development through STEM</w:t>
      </w:r>
      <w:r w:rsidRPr="003B70BD">
        <w:rPr>
          <w:rFonts w:ascii="Abadi" w:eastAsia="Aptos" w:hAnsi="Abadi" w:cs="Times New Roman"/>
          <w:sz w:val="28"/>
          <w:szCs w:val="28"/>
        </w:rPr>
        <w:t>: Investing in STEM education can lead to innovations that drive economic development. Technological advancements can create new industries and job opportunities, helping to reduce unemployment and stimulate economic recovery in Gaza.</w:t>
      </w:r>
    </w:p>
    <w:p w14:paraId="42223F74" w14:textId="77777777" w:rsidR="003B70BD" w:rsidRPr="003B70BD" w:rsidRDefault="003B70BD" w:rsidP="003B70BD">
      <w:pPr>
        <w:numPr>
          <w:ilvl w:val="0"/>
          <w:numId w:val="21"/>
        </w:numPr>
        <w:tabs>
          <w:tab w:val="num" w:pos="720"/>
        </w:tabs>
        <w:spacing w:line="256" w:lineRule="auto"/>
        <w:rPr>
          <w:rFonts w:ascii="Abadi" w:eastAsia="Aptos" w:hAnsi="Abadi" w:cs="Times New Roman"/>
          <w:sz w:val="28"/>
          <w:szCs w:val="28"/>
        </w:rPr>
      </w:pPr>
      <w:r w:rsidRPr="003B70BD">
        <w:rPr>
          <w:rFonts w:ascii="Abadi" w:eastAsia="Aptos" w:hAnsi="Abadi" w:cs="Times New Roman"/>
          <w:b/>
          <w:bCs/>
          <w:sz w:val="28"/>
          <w:szCs w:val="28"/>
        </w:rPr>
        <w:lastRenderedPageBreak/>
        <w:t>Addressing Infrastructure Needs</w:t>
      </w:r>
      <w:r w:rsidRPr="003B70BD">
        <w:rPr>
          <w:rFonts w:ascii="Abadi" w:eastAsia="Aptos" w:hAnsi="Abadi" w:cs="Times New Roman"/>
          <w:sz w:val="28"/>
          <w:szCs w:val="28"/>
        </w:rPr>
        <w:t>: Post-war Gaza requires substantial rebuilding of its infrastructure. Engineers, architects, and technology specialists educated in STEM fields are crucial for designing resilient buildings, developing sustainable energy solutions, and improving public utilities.</w:t>
      </w:r>
    </w:p>
    <w:p w14:paraId="36E91158" w14:textId="77777777" w:rsidR="003B70BD" w:rsidRPr="003B70BD" w:rsidRDefault="003B70BD" w:rsidP="003B70BD">
      <w:pPr>
        <w:numPr>
          <w:ilvl w:val="0"/>
          <w:numId w:val="21"/>
        </w:numPr>
        <w:tabs>
          <w:tab w:val="num" w:pos="720"/>
        </w:tabs>
        <w:spacing w:line="256" w:lineRule="auto"/>
        <w:rPr>
          <w:rFonts w:ascii="Abadi" w:eastAsia="Aptos" w:hAnsi="Abadi" w:cs="Times New Roman"/>
          <w:sz w:val="28"/>
          <w:szCs w:val="28"/>
        </w:rPr>
      </w:pPr>
      <w:r w:rsidRPr="003B70BD">
        <w:rPr>
          <w:rFonts w:ascii="Abadi" w:eastAsia="Aptos" w:hAnsi="Abadi" w:cs="Times New Roman"/>
          <w:b/>
          <w:bCs/>
          <w:sz w:val="28"/>
          <w:szCs w:val="28"/>
        </w:rPr>
        <w:t>Role of Humanities and Social Sciences</w:t>
      </w:r>
      <w:r w:rsidRPr="003B70BD">
        <w:rPr>
          <w:rFonts w:ascii="Abadi" w:eastAsia="Aptos" w:hAnsi="Abadi" w:cs="Times New Roman"/>
          <w:sz w:val="28"/>
          <w:szCs w:val="28"/>
        </w:rPr>
        <w:t>: Humanities and Social Sciences are equally important as they foster critical thinking, cultural awareness, and social responsibility. These fields help students understand the socio-political context of Gaza, promote peacebuilding, and preserve cultural heritage.</w:t>
      </w:r>
    </w:p>
    <w:p w14:paraId="264B2C65" w14:textId="77777777" w:rsidR="003B70BD" w:rsidRPr="003B70BD" w:rsidRDefault="003B70BD" w:rsidP="003B70BD">
      <w:pPr>
        <w:numPr>
          <w:ilvl w:val="0"/>
          <w:numId w:val="21"/>
        </w:numPr>
        <w:tabs>
          <w:tab w:val="num" w:pos="720"/>
        </w:tabs>
        <w:spacing w:line="256" w:lineRule="auto"/>
        <w:rPr>
          <w:rFonts w:ascii="Abadi" w:eastAsia="Aptos" w:hAnsi="Abadi" w:cs="Times New Roman"/>
          <w:sz w:val="28"/>
          <w:szCs w:val="28"/>
        </w:rPr>
      </w:pPr>
      <w:r w:rsidRPr="003B70BD">
        <w:rPr>
          <w:rFonts w:ascii="Abadi" w:eastAsia="Aptos" w:hAnsi="Abadi" w:cs="Times New Roman"/>
          <w:b/>
          <w:bCs/>
          <w:sz w:val="28"/>
          <w:szCs w:val="28"/>
        </w:rPr>
        <w:t>Cultural Preservation and Social Cohesion</w:t>
      </w:r>
      <w:r w:rsidRPr="003B70BD">
        <w:rPr>
          <w:rFonts w:ascii="Abadi" w:eastAsia="Aptos" w:hAnsi="Abadi" w:cs="Times New Roman"/>
          <w:sz w:val="28"/>
          <w:szCs w:val="28"/>
        </w:rPr>
        <w:t>: Emphasizing Humanities and Social Sciences ensures the preservation of Gaza’s rich cultural history and supports social cohesion. Educators in these fields can play a pivotal role in community healing and rebuilding social structures disrupted by occupation and military actions.</w:t>
      </w:r>
    </w:p>
    <w:p w14:paraId="2CF2E6D9" w14:textId="77777777" w:rsidR="003B70BD" w:rsidRPr="003B70BD" w:rsidRDefault="003B70BD" w:rsidP="003B70BD">
      <w:pPr>
        <w:numPr>
          <w:ilvl w:val="0"/>
          <w:numId w:val="21"/>
        </w:numPr>
        <w:tabs>
          <w:tab w:val="num" w:pos="720"/>
        </w:tabs>
        <w:spacing w:line="256" w:lineRule="auto"/>
        <w:rPr>
          <w:rFonts w:ascii="Abadi" w:eastAsia="Aptos" w:hAnsi="Abadi" w:cs="Times New Roman"/>
          <w:sz w:val="28"/>
          <w:szCs w:val="28"/>
        </w:rPr>
      </w:pPr>
      <w:r w:rsidRPr="003B70BD">
        <w:rPr>
          <w:rFonts w:ascii="Abadi" w:eastAsia="Aptos" w:hAnsi="Abadi" w:cs="Times New Roman"/>
          <w:b/>
          <w:bCs/>
          <w:sz w:val="28"/>
          <w:szCs w:val="28"/>
        </w:rPr>
        <w:t>Balancing Immediate and Long-Term Needs</w:t>
      </w:r>
      <w:r w:rsidRPr="003B70BD">
        <w:rPr>
          <w:rFonts w:ascii="Abadi" w:eastAsia="Aptos" w:hAnsi="Abadi" w:cs="Times New Roman"/>
          <w:sz w:val="28"/>
          <w:szCs w:val="28"/>
        </w:rPr>
        <w:t>: While STEM education addresses immediate infrastructure and economic needs, Humanities and Social Sciences contribute to long-term societal resilience. A balanced educational approach can produce graduates who are not only technically skilled but also socially conscious and culturally informed.</w:t>
      </w:r>
    </w:p>
    <w:p w14:paraId="7D8EE998" w14:textId="77777777" w:rsidR="003B70BD" w:rsidRPr="003B70BD" w:rsidRDefault="003B70BD" w:rsidP="003B70BD">
      <w:pPr>
        <w:numPr>
          <w:ilvl w:val="0"/>
          <w:numId w:val="21"/>
        </w:numPr>
        <w:tabs>
          <w:tab w:val="num" w:pos="720"/>
        </w:tabs>
        <w:spacing w:line="256" w:lineRule="auto"/>
        <w:rPr>
          <w:rFonts w:ascii="Abadi" w:eastAsia="Aptos" w:hAnsi="Abadi" w:cs="Times New Roman"/>
          <w:sz w:val="28"/>
          <w:szCs w:val="28"/>
        </w:rPr>
      </w:pPr>
      <w:r w:rsidRPr="003B70BD">
        <w:rPr>
          <w:rFonts w:ascii="Abadi" w:eastAsia="Aptos" w:hAnsi="Abadi" w:cs="Times New Roman"/>
          <w:b/>
          <w:bCs/>
          <w:sz w:val="28"/>
          <w:szCs w:val="28"/>
        </w:rPr>
        <w:t>Global Examples and Comparative Analysis</w:t>
      </w:r>
      <w:r w:rsidRPr="003B70BD">
        <w:rPr>
          <w:rFonts w:ascii="Abadi" w:eastAsia="Aptos" w:hAnsi="Abadi" w:cs="Times New Roman"/>
          <w:sz w:val="28"/>
          <w:szCs w:val="28"/>
        </w:rPr>
        <w:t>: Examining other regions recovering from war, such as Bosnia and Herzegovina or Rwanda, reveals the benefits of a balanced education system. These countries have integrated technical and liberal arts education to rebuild both their physical and social structures.</w:t>
      </w:r>
    </w:p>
    <w:p w14:paraId="6EA47975" w14:textId="77777777" w:rsidR="003B70BD" w:rsidRPr="003B70BD" w:rsidRDefault="003B70BD" w:rsidP="003B70BD">
      <w:pPr>
        <w:numPr>
          <w:ilvl w:val="0"/>
          <w:numId w:val="21"/>
        </w:numPr>
        <w:tabs>
          <w:tab w:val="num" w:pos="720"/>
        </w:tabs>
        <w:spacing w:line="256" w:lineRule="auto"/>
        <w:rPr>
          <w:rFonts w:ascii="Abadi" w:eastAsia="Aptos" w:hAnsi="Abadi" w:cs="Times New Roman"/>
          <w:sz w:val="28"/>
          <w:szCs w:val="28"/>
        </w:rPr>
      </w:pPr>
      <w:r w:rsidRPr="003B70BD">
        <w:rPr>
          <w:rFonts w:ascii="Abadi" w:eastAsia="Aptos" w:hAnsi="Abadi" w:cs="Times New Roman"/>
          <w:b/>
          <w:bCs/>
          <w:sz w:val="28"/>
          <w:szCs w:val="28"/>
        </w:rPr>
        <w:t>Stakeholder Perspectives</w:t>
      </w:r>
      <w:r w:rsidRPr="003B70BD">
        <w:rPr>
          <w:rFonts w:ascii="Abadi" w:eastAsia="Aptos" w:hAnsi="Abadi" w:cs="Times New Roman"/>
          <w:sz w:val="28"/>
          <w:szCs w:val="28"/>
        </w:rPr>
        <w:t>: Engaging with various stakeholders, including government bodies, educational institutions, students, and international partners, is crucial in shaping an educational strategy that meets Gaza’s unique needs. Their input can guide the prioritization of STEM versus Humanities and Social Sciences education.</w:t>
      </w:r>
    </w:p>
    <w:p w14:paraId="36D4667B" w14:textId="77777777" w:rsidR="003B70BD" w:rsidRPr="003B70BD" w:rsidRDefault="003B70BD" w:rsidP="003B70BD">
      <w:pPr>
        <w:spacing w:line="256" w:lineRule="auto"/>
        <w:rPr>
          <w:rFonts w:ascii="Abadi" w:eastAsia="Aptos" w:hAnsi="Abadi" w:cs="Times New Roman"/>
          <w:sz w:val="28"/>
          <w:szCs w:val="28"/>
        </w:rPr>
      </w:pPr>
    </w:p>
    <w:p w14:paraId="03BA62A4" w14:textId="77777777" w:rsidR="0048796E" w:rsidRDefault="003B70BD" w:rsidP="003B70BD">
      <w:pPr>
        <w:spacing w:line="256" w:lineRule="auto"/>
        <w:rPr>
          <w:rFonts w:ascii="Abadi" w:eastAsia="Aptos" w:hAnsi="Abadi" w:cs="Times New Roman"/>
          <w:b/>
          <w:bCs/>
          <w:sz w:val="28"/>
          <w:szCs w:val="28"/>
        </w:rPr>
      </w:pPr>
      <w:r w:rsidRPr="003B70BD">
        <w:rPr>
          <w:rFonts w:ascii="Abadi" w:eastAsia="Aptos" w:hAnsi="Abadi" w:cs="Times New Roman"/>
          <w:b/>
          <w:bCs/>
          <w:sz w:val="28"/>
          <w:szCs w:val="28"/>
        </w:rPr>
        <w:br/>
      </w:r>
      <w:r w:rsidRPr="003B70BD">
        <w:rPr>
          <w:rFonts w:ascii="Abadi" w:eastAsia="Aptos" w:hAnsi="Abadi" w:cs="Times New Roman"/>
          <w:b/>
          <w:bCs/>
          <w:sz w:val="28"/>
          <w:szCs w:val="28"/>
        </w:rPr>
        <w:br/>
      </w:r>
    </w:p>
    <w:p w14:paraId="23C69F6D" w14:textId="77777777" w:rsidR="0048796E" w:rsidRDefault="0048796E" w:rsidP="003B70BD">
      <w:pPr>
        <w:spacing w:line="256" w:lineRule="auto"/>
        <w:rPr>
          <w:rFonts w:ascii="Abadi" w:eastAsia="Aptos" w:hAnsi="Abadi" w:cs="Times New Roman"/>
          <w:b/>
          <w:bCs/>
          <w:sz w:val="28"/>
          <w:szCs w:val="28"/>
        </w:rPr>
      </w:pPr>
    </w:p>
    <w:p w14:paraId="0D6C4298" w14:textId="2066D358" w:rsidR="003B70BD" w:rsidRPr="003B70BD" w:rsidRDefault="003B70BD" w:rsidP="003B70BD">
      <w:pPr>
        <w:spacing w:line="256" w:lineRule="auto"/>
        <w:rPr>
          <w:rFonts w:ascii="Abadi" w:eastAsia="Aptos" w:hAnsi="Abadi" w:cs="Times New Roman"/>
          <w:b/>
          <w:bCs/>
          <w:sz w:val="28"/>
          <w:szCs w:val="28"/>
        </w:rPr>
      </w:pPr>
      <w:r w:rsidRPr="003B70BD">
        <w:rPr>
          <w:rFonts w:ascii="Abadi" w:eastAsia="Aptos" w:hAnsi="Abadi" w:cs="Times New Roman"/>
          <w:b/>
          <w:bCs/>
          <w:sz w:val="28"/>
          <w:szCs w:val="28"/>
        </w:rPr>
        <w:lastRenderedPageBreak/>
        <w:t>Advocate A Presentation: In Support of STEM Education</w:t>
      </w:r>
    </w:p>
    <w:p w14:paraId="0D4386C1" w14:textId="77777777" w:rsidR="003B70BD" w:rsidRPr="003B70BD" w:rsidRDefault="003B70BD" w:rsidP="003B70BD">
      <w:pPr>
        <w:spacing w:line="256" w:lineRule="auto"/>
        <w:rPr>
          <w:rFonts w:ascii="Abadi" w:eastAsia="Aptos" w:hAnsi="Abadi" w:cs="Times New Roman"/>
          <w:sz w:val="28"/>
          <w:szCs w:val="28"/>
        </w:rPr>
      </w:pPr>
      <w:r w:rsidRPr="003B70BD">
        <w:rPr>
          <w:rFonts w:ascii="Abadi" w:eastAsia="Aptos" w:hAnsi="Abadi" w:cs="Times New Roman"/>
          <w:sz w:val="28"/>
          <w:szCs w:val="28"/>
        </w:rPr>
        <w:t>STEM education is crucial for the immediate and long-term recovery of Gaza. Here are five detailed and research-backed points supporting this view:</w:t>
      </w:r>
    </w:p>
    <w:p w14:paraId="7295632A" w14:textId="77777777" w:rsidR="003B70BD" w:rsidRPr="003B70BD" w:rsidRDefault="003B70BD" w:rsidP="003B70BD">
      <w:pPr>
        <w:numPr>
          <w:ilvl w:val="0"/>
          <w:numId w:val="22"/>
        </w:numPr>
        <w:spacing w:line="256" w:lineRule="auto"/>
        <w:rPr>
          <w:rFonts w:ascii="Abadi" w:eastAsia="Aptos" w:hAnsi="Abadi" w:cs="Times New Roman"/>
          <w:sz w:val="28"/>
          <w:szCs w:val="28"/>
        </w:rPr>
      </w:pPr>
      <w:r w:rsidRPr="003B70BD">
        <w:rPr>
          <w:rFonts w:ascii="Abadi" w:eastAsia="Aptos" w:hAnsi="Abadi" w:cs="Times New Roman"/>
          <w:b/>
          <w:bCs/>
          <w:sz w:val="28"/>
          <w:szCs w:val="28"/>
        </w:rPr>
        <w:t>Rebuilding Critical Infrastructure</w:t>
      </w:r>
      <w:r w:rsidRPr="003B70BD">
        <w:rPr>
          <w:rFonts w:ascii="Abadi" w:eastAsia="Aptos" w:hAnsi="Abadi" w:cs="Times New Roman"/>
          <w:sz w:val="28"/>
          <w:szCs w:val="28"/>
        </w:rPr>
        <w:t>: Post-war Gaza urgently needs professionals who can rebuild its damaged infrastructure. Engineers, architects, and technologists are essential to design and construct resilient buildings, roads, and utilities. According to a report by the United Nations Development Programme (UNDP), STEM fields play a pivotal role in reconstructing infrastructure in post-war regions, ensuring safety and sustainability.</w:t>
      </w:r>
    </w:p>
    <w:p w14:paraId="680A4648" w14:textId="77777777" w:rsidR="003B70BD" w:rsidRPr="003B70BD" w:rsidRDefault="003B70BD" w:rsidP="003B70BD">
      <w:pPr>
        <w:numPr>
          <w:ilvl w:val="0"/>
          <w:numId w:val="22"/>
        </w:numPr>
        <w:spacing w:line="256" w:lineRule="auto"/>
        <w:rPr>
          <w:rFonts w:ascii="Abadi" w:eastAsia="Aptos" w:hAnsi="Abadi" w:cs="Times New Roman"/>
          <w:sz w:val="28"/>
          <w:szCs w:val="28"/>
        </w:rPr>
      </w:pPr>
      <w:r w:rsidRPr="003B70BD">
        <w:rPr>
          <w:rFonts w:ascii="Abadi" w:eastAsia="Aptos" w:hAnsi="Abadi" w:cs="Times New Roman"/>
          <w:b/>
          <w:bCs/>
          <w:sz w:val="28"/>
          <w:szCs w:val="28"/>
        </w:rPr>
        <w:t>Economic Growth and Job Creation</w:t>
      </w:r>
      <w:r w:rsidRPr="003B70BD">
        <w:rPr>
          <w:rFonts w:ascii="Abadi" w:eastAsia="Aptos" w:hAnsi="Abadi" w:cs="Times New Roman"/>
          <w:sz w:val="28"/>
          <w:szCs w:val="28"/>
        </w:rPr>
        <w:t>: Investing in STEM education fosters technological advancements that can drive economic growth. Countries that prioritize STEM education often experience higher rates of innovation, leading to new industries and job opportunities. A study by the World Bank highlights that STEM fields are critical for economic development, especially in regions recovering from extensive damage. For Gaza, this could mean reduced unemployment and a stronger economy.</w:t>
      </w:r>
    </w:p>
    <w:p w14:paraId="6D371417" w14:textId="77777777" w:rsidR="003B70BD" w:rsidRPr="003B70BD" w:rsidRDefault="003B70BD" w:rsidP="003B70BD">
      <w:pPr>
        <w:numPr>
          <w:ilvl w:val="0"/>
          <w:numId w:val="22"/>
        </w:numPr>
        <w:spacing w:line="256" w:lineRule="auto"/>
        <w:rPr>
          <w:rFonts w:ascii="Abadi" w:eastAsia="Aptos" w:hAnsi="Abadi" w:cs="Times New Roman"/>
          <w:sz w:val="28"/>
          <w:szCs w:val="28"/>
        </w:rPr>
      </w:pPr>
      <w:r w:rsidRPr="003B70BD">
        <w:rPr>
          <w:rFonts w:ascii="Abadi" w:eastAsia="Aptos" w:hAnsi="Abadi" w:cs="Times New Roman"/>
          <w:b/>
          <w:bCs/>
          <w:sz w:val="28"/>
          <w:szCs w:val="28"/>
        </w:rPr>
        <w:t>Addressing Health and Environmental Challenges</w:t>
      </w:r>
      <w:r w:rsidRPr="003B70BD">
        <w:rPr>
          <w:rFonts w:ascii="Abadi" w:eastAsia="Aptos" w:hAnsi="Abadi" w:cs="Times New Roman"/>
          <w:sz w:val="28"/>
          <w:szCs w:val="28"/>
        </w:rPr>
        <w:t>: STEM education equips students with the skills to tackle pressing health and environmental issues. Gaza faces significant health challenges due to limited medical infrastructure and ongoing environmental degradation. Training more professionals in medical technology, environmental science, and engineering can lead to improved healthcare systems and sustainable environmental practices. Research from the Journal of Environmental Management emphasizes the role of STEM education in addressing such issues effectively.</w:t>
      </w:r>
    </w:p>
    <w:p w14:paraId="750AB1AF" w14:textId="77777777" w:rsidR="003B70BD" w:rsidRPr="003B70BD" w:rsidRDefault="003B70BD" w:rsidP="003B70BD">
      <w:pPr>
        <w:numPr>
          <w:ilvl w:val="0"/>
          <w:numId w:val="22"/>
        </w:numPr>
        <w:spacing w:line="256" w:lineRule="auto"/>
        <w:rPr>
          <w:rFonts w:ascii="Abadi" w:eastAsia="Aptos" w:hAnsi="Abadi" w:cs="Times New Roman"/>
          <w:sz w:val="28"/>
          <w:szCs w:val="28"/>
        </w:rPr>
      </w:pPr>
      <w:r w:rsidRPr="003B70BD">
        <w:rPr>
          <w:rFonts w:ascii="Abadi" w:eastAsia="Aptos" w:hAnsi="Abadi" w:cs="Times New Roman"/>
          <w:b/>
          <w:bCs/>
          <w:sz w:val="28"/>
          <w:szCs w:val="28"/>
        </w:rPr>
        <w:t>Enhancing Technological Capacity</w:t>
      </w:r>
      <w:r w:rsidRPr="003B70BD">
        <w:rPr>
          <w:rFonts w:ascii="Abadi" w:eastAsia="Aptos" w:hAnsi="Abadi" w:cs="Times New Roman"/>
          <w:sz w:val="28"/>
          <w:szCs w:val="28"/>
        </w:rPr>
        <w:t>: The global economy increasingly relies on technology, making STEM education essential for competitiveness. Gaza’s integration into the global economy requires a workforce proficient in the latest technologies. According to a report by UNESCO, regions investing in STEM education see significant advancements in their technological capacity, which is crucial for development and innovation.</w:t>
      </w:r>
    </w:p>
    <w:p w14:paraId="364F862E" w14:textId="77777777" w:rsidR="003B70BD" w:rsidRPr="003B70BD" w:rsidRDefault="003B70BD" w:rsidP="003B70BD">
      <w:pPr>
        <w:numPr>
          <w:ilvl w:val="0"/>
          <w:numId w:val="22"/>
        </w:numPr>
        <w:spacing w:line="256" w:lineRule="auto"/>
        <w:rPr>
          <w:rFonts w:ascii="Abadi" w:eastAsia="Aptos" w:hAnsi="Abadi" w:cs="Times New Roman"/>
          <w:sz w:val="28"/>
          <w:szCs w:val="28"/>
        </w:rPr>
      </w:pPr>
      <w:r w:rsidRPr="003B70BD">
        <w:rPr>
          <w:rFonts w:ascii="Abadi" w:eastAsia="Aptos" w:hAnsi="Abadi" w:cs="Times New Roman"/>
          <w:b/>
          <w:bCs/>
          <w:sz w:val="28"/>
          <w:szCs w:val="28"/>
        </w:rPr>
        <w:t>Empowering Youth and Promoting Innovation</w:t>
      </w:r>
      <w:r w:rsidRPr="003B70BD">
        <w:rPr>
          <w:rFonts w:ascii="Abadi" w:eastAsia="Aptos" w:hAnsi="Abadi" w:cs="Times New Roman"/>
          <w:sz w:val="28"/>
          <w:szCs w:val="28"/>
        </w:rPr>
        <w:t xml:space="preserve">: STEM education empowers youth by providing them with the skills needed for modern careers, promoting innovation and entrepreneurship. For </w:t>
      </w:r>
      <w:r w:rsidRPr="003B70BD">
        <w:rPr>
          <w:rFonts w:ascii="Abadi" w:eastAsia="Aptos" w:hAnsi="Abadi" w:cs="Times New Roman"/>
          <w:sz w:val="28"/>
          <w:szCs w:val="28"/>
        </w:rPr>
        <w:lastRenderedPageBreak/>
        <w:t>Gaza’s young population, this means opportunities to contribute to their community’s recovery and future prosperity. The National Academies of Sciences, Engineering, and Medicine emphasize that STEM education fosters critical thinking and problem-solving skills, which are vital for addressing complex post-war challenges.</w:t>
      </w:r>
    </w:p>
    <w:p w14:paraId="23DB5314" w14:textId="77777777" w:rsidR="003B70BD" w:rsidRPr="003B70BD" w:rsidRDefault="003B70BD" w:rsidP="003B70BD">
      <w:pPr>
        <w:spacing w:line="256" w:lineRule="auto"/>
        <w:rPr>
          <w:rFonts w:ascii="Abadi" w:eastAsia="Aptos" w:hAnsi="Abadi" w:cs="Times New Roman"/>
          <w:sz w:val="28"/>
          <w:szCs w:val="28"/>
        </w:rPr>
      </w:pPr>
    </w:p>
    <w:p w14:paraId="300EDADE" w14:textId="77777777" w:rsidR="003B70BD" w:rsidRPr="003B70BD" w:rsidRDefault="003B70BD" w:rsidP="003B70BD">
      <w:pPr>
        <w:spacing w:line="256" w:lineRule="auto"/>
        <w:rPr>
          <w:rFonts w:ascii="Abadi" w:eastAsia="Aptos" w:hAnsi="Abadi" w:cs="Times New Roman"/>
          <w:b/>
          <w:bCs/>
          <w:sz w:val="28"/>
          <w:szCs w:val="28"/>
        </w:rPr>
      </w:pPr>
      <w:r w:rsidRPr="003B70BD">
        <w:rPr>
          <w:rFonts w:ascii="Abadi" w:eastAsia="Aptos" w:hAnsi="Abadi" w:cs="Times New Roman"/>
          <w:b/>
          <w:bCs/>
          <w:sz w:val="28"/>
          <w:szCs w:val="28"/>
        </w:rPr>
        <w:t>Advocate B Presentation: In Support of Humanities and Social Sciences</w:t>
      </w:r>
    </w:p>
    <w:p w14:paraId="44EF3DC1" w14:textId="77777777" w:rsidR="003B70BD" w:rsidRPr="003B70BD" w:rsidRDefault="003B70BD" w:rsidP="003B70BD">
      <w:pPr>
        <w:spacing w:line="256" w:lineRule="auto"/>
        <w:rPr>
          <w:rFonts w:ascii="Abadi" w:eastAsia="Aptos" w:hAnsi="Abadi" w:cs="Times New Roman"/>
          <w:sz w:val="28"/>
          <w:szCs w:val="28"/>
        </w:rPr>
      </w:pPr>
      <w:r w:rsidRPr="003B70BD">
        <w:rPr>
          <w:rFonts w:ascii="Abadi" w:eastAsia="Aptos" w:hAnsi="Abadi" w:cs="Times New Roman"/>
          <w:sz w:val="28"/>
          <w:szCs w:val="28"/>
        </w:rPr>
        <w:t>Humanities and Social Sciences education is equally vital for Gaza’s recovery and long-term development. Here are five detailed and research-backed points supporting this view:</w:t>
      </w:r>
    </w:p>
    <w:p w14:paraId="2920FD6A" w14:textId="77777777" w:rsidR="003B70BD" w:rsidRPr="003B70BD" w:rsidRDefault="003B70BD" w:rsidP="003B70BD">
      <w:pPr>
        <w:numPr>
          <w:ilvl w:val="0"/>
          <w:numId w:val="23"/>
        </w:numPr>
        <w:spacing w:line="256" w:lineRule="auto"/>
        <w:rPr>
          <w:rFonts w:ascii="Abadi" w:eastAsia="Aptos" w:hAnsi="Abadi" w:cs="Times New Roman"/>
          <w:sz w:val="28"/>
          <w:szCs w:val="28"/>
        </w:rPr>
      </w:pPr>
      <w:r w:rsidRPr="003B70BD">
        <w:rPr>
          <w:rFonts w:ascii="Abadi" w:eastAsia="Aptos" w:hAnsi="Abadi" w:cs="Times New Roman"/>
          <w:b/>
          <w:bCs/>
          <w:sz w:val="28"/>
          <w:szCs w:val="28"/>
        </w:rPr>
        <w:t>Understanding Social Dynamics and Promoting Peacebuilding</w:t>
      </w:r>
      <w:r w:rsidRPr="003B70BD">
        <w:rPr>
          <w:rFonts w:ascii="Abadi" w:eastAsia="Aptos" w:hAnsi="Abadi" w:cs="Times New Roman"/>
          <w:sz w:val="28"/>
          <w:szCs w:val="28"/>
        </w:rPr>
        <w:t>: Humanities and Social Sciences provide essential insights into the social, cultural, and political dynamics of Gaza. Understanding these aspects is crucial for promoting peacebuilding and social cohesion after years of occupation and military actions. According to research by the Peace Research Institute Oslo (PRIO), education in these fields helps to foster dialogue, reduce tensions, and promote reconciliation in post-war societies.</w:t>
      </w:r>
    </w:p>
    <w:p w14:paraId="71A69F5A" w14:textId="77777777" w:rsidR="003B70BD" w:rsidRPr="003B70BD" w:rsidRDefault="003B70BD" w:rsidP="003B70BD">
      <w:pPr>
        <w:numPr>
          <w:ilvl w:val="0"/>
          <w:numId w:val="23"/>
        </w:numPr>
        <w:spacing w:line="256" w:lineRule="auto"/>
        <w:rPr>
          <w:rFonts w:ascii="Abadi" w:eastAsia="Aptos" w:hAnsi="Abadi" w:cs="Times New Roman"/>
          <w:sz w:val="28"/>
          <w:szCs w:val="28"/>
        </w:rPr>
      </w:pPr>
      <w:r w:rsidRPr="003B70BD">
        <w:rPr>
          <w:rFonts w:ascii="Abadi" w:eastAsia="Aptos" w:hAnsi="Abadi" w:cs="Times New Roman"/>
          <w:b/>
          <w:bCs/>
          <w:sz w:val="28"/>
          <w:szCs w:val="28"/>
        </w:rPr>
        <w:t>Preserving Cultural Heritage and Identity</w:t>
      </w:r>
      <w:r w:rsidRPr="003B70BD">
        <w:rPr>
          <w:rFonts w:ascii="Abadi" w:eastAsia="Aptos" w:hAnsi="Abadi" w:cs="Times New Roman"/>
          <w:sz w:val="28"/>
          <w:szCs w:val="28"/>
        </w:rPr>
        <w:t>: Gaza has a rich cultural history that needs to be preserved and understood, especially in the aftermath of Israel's war on Gaza. Education in Humanities and Social Sciences plays a crucial role in documenting, preserving, and promoting cultural heritage and identity. UNESCO emphasizes the importance of cultural preservation in maintaining a society’s sense of identity and continuity, which is vital for community resilience and recovery.</w:t>
      </w:r>
    </w:p>
    <w:p w14:paraId="203C235A" w14:textId="77777777" w:rsidR="003B70BD" w:rsidRPr="003B70BD" w:rsidRDefault="003B70BD" w:rsidP="003B70BD">
      <w:pPr>
        <w:numPr>
          <w:ilvl w:val="0"/>
          <w:numId w:val="23"/>
        </w:numPr>
        <w:spacing w:line="256" w:lineRule="auto"/>
        <w:rPr>
          <w:rFonts w:ascii="Abadi" w:eastAsia="Aptos" w:hAnsi="Abadi" w:cs="Times New Roman"/>
          <w:sz w:val="28"/>
          <w:szCs w:val="28"/>
        </w:rPr>
      </w:pPr>
      <w:r w:rsidRPr="003B70BD">
        <w:rPr>
          <w:rFonts w:ascii="Abadi" w:eastAsia="Aptos" w:hAnsi="Abadi" w:cs="Times New Roman"/>
          <w:b/>
          <w:bCs/>
          <w:sz w:val="28"/>
          <w:szCs w:val="28"/>
        </w:rPr>
        <w:t>Fostering Critical Thinking and Civic Engagement</w:t>
      </w:r>
      <w:r w:rsidRPr="003B70BD">
        <w:rPr>
          <w:rFonts w:ascii="Abadi" w:eastAsia="Aptos" w:hAnsi="Abadi" w:cs="Times New Roman"/>
          <w:sz w:val="28"/>
          <w:szCs w:val="28"/>
        </w:rPr>
        <w:t>: Humanities and Social Sciences education encourages critical thinking, ethical reasoning, and civic engagement. These skills are essential for developing informed and active citizens who can contribute to the rebuilding and governance of Gaza. A study by the Carnegie Foundation highlights that these fields of study are instrumental in fostering a participatory and democratic society, which is necessary for sustainable development.</w:t>
      </w:r>
    </w:p>
    <w:p w14:paraId="3E24FDA6" w14:textId="77777777" w:rsidR="003B70BD" w:rsidRPr="003B70BD" w:rsidRDefault="003B70BD" w:rsidP="003B70BD">
      <w:pPr>
        <w:numPr>
          <w:ilvl w:val="0"/>
          <w:numId w:val="23"/>
        </w:numPr>
        <w:spacing w:line="256" w:lineRule="auto"/>
        <w:rPr>
          <w:rFonts w:ascii="Abadi" w:eastAsia="Aptos" w:hAnsi="Abadi" w:cs="Times New Roman"/>
          <w:sz w:val="28"/>
          <w:szCs w:val="28"/>
        </w:rPr>
      </w:pPr>
      <w:r w:rsidRPr="003B70BD">
        <w:rPr>
          <w:rFonts w:ascii="Abadi" w:eastAsia="Aptos" w:hAnsi="Abadi" w:cs="Times New Roman"/>
          <w:b/>
          <w:bCs/>
          <w:sz w:val="28"/>
          <w:szCs w:val="28"/>
        </w:rPr>
        <w:t>Addressing Psychological and Social Trauma</w:t>
      </w:r>
      <w:r w:rsidRPr="003B70BD">
        <w:rPr>
          <w:rFonts w:ascii="Abadi" w:eastAsia="Aptos" w:hAnsi="Abadi" w:cs="Times New Roman"/>
          <w:sz w:val="28"/>
          <w:szCs w:val="28"/>
        </w:rPr>
        <w:t xml:space="preserve">: The psychological and social impact of occupation and military actions on Gaza’s population is profound. Social workers, psychologists, and community leaders </w:t>
      </w:r>
      <w:r w:rsidRPr="003B70BD">
        <w:rPr>
          <w:rFonts w:ascii="Abadi" w:eastAsia="Aptos" w:hAnsi="Abadi" w:cs="Times New Roman"/>
          <w:sz w:val="28"/>
          <w:szCs w:val="28"/>
        </w:rPr>
        <w:lastRenderedPageBreak/>
        <w:t>educated in the Humanities and Social Sciences are crucial for addressing trauma, providing mental health support, and facilitating community healing. Research published in the Journal of Traumatic Stress points to the significant role these professionals play in post-war recovery by supporting individuals and communities in their healing processes.</w:t>
      </w:r>
    </w:p>
    <w:p w14:paraId="2C23ADDC" w14:textId="77777777" w:rsidR="003B70BD" w:rsidRPr="003B70BD" w:rsidRDefault="003B70BD" w:rsidP="003B70BD">
      <w:pPr>
        <w:numPr>
          <w:ilvl w:val="0"/>
          <w:numId w:val="23"/>
        </w:numPr>
        <w:spacing w:line="256" w:lineRule="auto"/>
        <w:rPr>
          <w:rFonts w:ascii="Abadi" w:eastAsia="Aptos" w:hAnsi="Abadi" w:cs="Times New Roman"/>
          <w:sz w:val="28"/>
          <w:szCs w:val="28"/>
        </w:rPr>
      </w:pPr>
      <w:r w:rsidRPr="003B70BD">
        <w:rPr>
          <w:rFonts w:ascii="Abadi" w:eastAsia="Aptos" w:hAnsi="Abadi" w:cs="Times New Roman"/>
          <w:b/>
          <w:bCs/>
          <w:sz w:val="28"/>
          <w:szCs w:val="28"/>
        </w:rPr>
        <w:t>Promoting Human Rights and Social Justice</w:t>
      </w:r>
      <w:r w:rsidRPr="003B70BD">
        <w:rPr>
          <w:rFonts w:ascii="Abadi" w:eastAsia="Aptos" w:hAnsi="Abadi" w:cs="Times New Roman"/>
          <w:sz w:val="28"/>
          <w:szCs w:val="28"/>
        </w:rPr>
        <w:t>: Education in Humanities and Social Sciences raises awareness about human rights and social justice issues, which are particularly relevant in Gaza. This knowledge empowers students to advocate for their rights and work towards a more just and equitable society. The International Journal of Human Rights underscores the importance of human rights education in empowering individuals to challenge injustices and contribute to societal change.</w:t>
      </w:r>
    </w:p>
    <w:p w14:paraId="6FD1A19E" w14:textId="77777777" w:rsidR="003B70BD" w:rsidRPr="003B70BD" w:rsidRDefault="003B70BD" w:rsidP="003B70BD">
      <w:pPr>
        <w:spacing w:line="256" w:lineRule="auto"/>
        <w:rPr>
          <w:rFonts w:ascii="Abadi" w:eastAsia="Aptos" w:hAnsi="Abadi" w:cs="Times New Roman"/>
          <w:sz w:val="28"/>
          <w:szCs w:val="28"/>
        </w:rPr>
      </w:pPr>
    </w:p>
    <w:p w14:paraId="58321C4A" w14:textId="77777777" w:rsidR="003B70BD" w:rsidRPr="003B70BD" w:rsidRDefault="003B70BD" w:rsidP="003B70BD">
      <w:pPr>
        <w:spacing w:line="256" w:lineRule="auto"/>
        <w:rPr>
          <w:rFonts w:ascii="Abadi" w:eastAsia="Aptos" w:hAnsi="Abadi" w:cs="Times New Roman"/>
          <w:b/>
          <w:bCs/>
          <w:sz w:val="28"/>
          <w:szCs w:val="28"/>
        </w:rPr>
      </w:pPr>
      <w:r w:rsidRPr="003B70BD">
        <w:rPr>
          <w:rFonts w:ascii="Abadi" w:eastAsia="Aptos" w:hAnsi="Abadi" w:cs="Times New Roman"/>
          <w:b/>
          <w:bCs/>
          <w:sz w:val="28"/>
          <w:szCs w:val="28"/>
        </w:rPr>
        <w:t>Advocate A Responding to Advocate B</w:t>
      </w:r>
    </w:p>
    <w:p w14:paraId="15742052" w14:textId="77777777" w:rsidR="003B70BD" w:rsidRPr="003B70BD" w:rsidRDefault="003B70BD" w:rsidP="003B70BD">
      <w:pPr>
        <w:spacing w:line="256" w:lineRule="auto"/>
        <w:rPr>
          <w:rFonts w:ascii="Abadi" w:eastAsia="Aptos" w:hAnsi="Abadi" w:cs="Times New Roman"/>
          <w:sz w:val="28"/>
          <w:szCs w:val="28"/>
        </w:rPr>
      </w:pPr>
      <w:r w:rsidRPr="003B70BD">
        <w:rPr>
          <w:rFonts w:ascii="Abadi" w:eastAsia="Aptos" w:hAnsi="Abadi" w:cs="Times New Roman"/>
          <w:sz w:val="28"/>
          <w:szCs w:val="28"/>
        </w:rPr>
        <w:t>While the importance of Humanities and Social Sciences in fostering critical thinking, preserving cultural heritage, and addressing social trauma is acknowledged, the immediate needs of Gaza post-occupation and military actions require a focus on STEM education. STEM fields are essential for rebuilding critical infrastructure, advancing technology, and driving economic growth, which are urgent priorities for Gaza’s recovery. The integration of STEM education can still incorporate aspects of social sciences by fostering interdisciplinary approaches that address both technological and societal challenges. Thus, prioritizing STEM does not mean neglecting the Humanities but ensuring that the urgent practical needs are met to create a stable foundation for holistic development.</w:t>
      </w:r>
    </w:p>
    <w:p w14:paraId="2308B0AC" w14:textId="77777777" w:rsidR="003B70BD" w:rsidRPr="003B70BD" w:rsidRDefault="003B70BD" w:rsidP="003B70BD">
      <w:pPr>
        <w:spacing w:line="256" w:lineRule="auto"/>
        <w:rPr>
          <w:rFonts w:ascii="Abadi" w:eastAsia="Aptos" w:hAnsi="Abadi" w:cs="Times New Roman"/>
          <w:sz w:val="28"/>
          <w:szCs w:val="28"/>
        </w:rPr>
      </w:pPr>
    </w:p>
    <w:p w14:paraId="1F6E89E2" w14:textId="77777777" w:rsidR="003B70BD" w:rsidRPr="003B70BD" w:rsidRDefault="003B70BD" w:rsidP="003B70BD">
      <w:pPr>
        <w:spacing w:line="256" w:lineRule="auto"/>
        <w:rPr>
          <w:rFonts w:ascii="Abadi" w:eastAsia="Aptos" w:hAnsi="Abadi" w:cs="Times New Roman"/>
          <w:b/>
          <w:bCs/>
          <w:sz w:val="28"/>
          <w:szCs w:val="28"/>
        </w:rPr>
      </w:pPr>
      <w:r w:rsidRPr="003B70BD">
        <w:rPr>
          <w:rFonts w:ascii="Abadi" w:eastAsia="Aptos" w:hAnsi="Abadi" w:cs="Times New Roman"/>
          <w:b/>
          <w:bCs/>
          <w:sz w:val="28"/>
          <w:szCs w:val="28"/>
        </w:rPr>
        <w:t>Advocate B Responding to Advocate A</w:t>
      </w:r>
    </w:p>
    <w:p w14:paraId="6EAC5CF2" w14:textId="77777777" w:rsidR="003B70BD" w:rsidRPr="003B70BD" w:rsidRDefault="003B70BD" w:rsidP="003B70BD">
      <w:pPr>
        <w:spacing w:line="256" w:lineRule="auto"/>
        <w:rPr>
          <w:rFonts w:ascii="Abadi" w:eastAsia="Aptos" w:hAnsi="Abadi" w:cs="Times New Roman"/>
          <w:sz w:val="28"/>
          <w:szCs w:val="28"/>
        </w:rPr>
      </w:pPr>
      <w:r w:rsidRPr="003B70BD">
        <w:rPr>
          <w:rFonts w:ascii="Abadi" w:eastAsia="Aptos" w:hAnsi="Abadi" w:cs="Times New Roman"/>
          <w:sz w:val="28"/>
          <w:szCs w:val="28"/>
        </w:rPr>
        <w:t xml:space="preserve">While the focus on STEM education is crucial for rebuilding Gaza's infrastructure and driving economic growth, it is equally important to address the social and psychological impacts of Israel's war in Gaza. Humanities and Social Sciences provide essential tools for understanding and healing the trauma experienced by the population, fostering social cohesion, and preserving cultural identity. Ignoring these aspects could undermine long-term stability and resilience. A balanced approach that integrates STEM with Humanities and Social Sciences will ensure that Gaza </w:t>
      </w:r>
      <w:r w:rsidRPr="003B70BD">
        <w:rPr>
          <w:rFonts w:ascii="Abadi" w:eastAsia="Aptos" w:hAnsi="Abadi" w:cs="Times New Roman"/>
          <w:sz w:val="28"/>
          <w:szCs w:val="28"/>
        </w:rPr>
        <w:lastRenderedPageBreak/>
        <w:t>not only rebuilds physically but also heals socially and culturally, creating a more comprehensive recovery.</w:t>
      </w:r>
    </w:p>
    <w:p w14:paraId="65769271" w14:textId="77777777" w:rsidR="003B70BD" w:rsidRPr="003B70BD" w:rsidRDefault="003B70BD" w:rsidP="003B70BD">
      <w:pPr>
        <w:spacing w:line="256" w:lineRule="auto"/>
        <w:rPr>
          <w:rFonts w:ascii="Abadi" w:eastAsia="Aptos" w:hAnsi="Abadi" w:cs="Times New Roman"/>
          <w:sz w:val="28"/>
          <w:szCs w:val="28"/>
        </w:rPr>
      </w:pPr>
    </w:p>
    <w:p w14:paraId="10DCF3DD" w14:textId="77777777" w:rsidR="003B70BD" w:rsidRPr="003B70BD" w:rsidRDefault="003B70BD" w:rsidP="003B70BD">
      <w:pPr>
        <w:spacing w:line="256" w:lineRule="auto"/>
        <w:rPr>
          <w:rFonts w:ascii="Abadi" w:eastAsia="Aptos" w:hAnsi="Abadi" w:cs="Times New Roman"/>
          <w:b/>
          <w:bCs/>
          <w:sz w:val="28"/>
          <w:szCs w:val="28"/>
        </w:rPr>
      </w:pPr>
      <w:r w:rsidRPr="003B70BD">
        <w:rPr>
          <w:rFonts w:ascii="Abadi" w:eastAsia="Aptos" w:hAnsi="Abadi" w:cs="Times New Roman"/>
          <w:b/>
          <w:bCs/>
          <w:sz w:val="28"/>
          <w:szCs w:val="28"/>
        </w:rPr>
        <w:t>Moderator's Summary</w:t>
      </w:r>
    </w:p>
    <w:p w14:paraId="07840D9A" w14:textId="77777777" w:rsidR="003B70BD" w:rsidRPr="003B70BD" w:rsidRDefault="003B70BD" w:rsidP="003B70BD">
      <w:pPr>
        <w:spacing w:line="256" w:lineRule="auto"/>
        <w:rPr>
          <w:rFonts w:ascii="Abadi" w:eastAsia="Aptos" w:hAnsi="Abadi" w:cs="Times New Roman"/>
          <w:sz w:val="28"/>
          <w:szCs w:val="28"/>
        </w:rPr>
      </w:pPr>
      <w:r w:rsidRPr="003B70BD">
        <w:rPr>
          <w:rFonts w:ascii="Abadi" w:eastAsia="Aptos" w:hAnsi="Abadi" w:cs="Times New Roman"/>
          <w:sz w:val="28"/>
          <w:szCs w:val="28"/>
        </w:rPr>
        <w:t xml:space="preserve">The debate on prioritizing STEM education versus Humanities and Social Sciences in Gaza's universities highlights critical aspects of post-occupation recovery and long-term development. Advocate A emphasized the immediate necessity of STEM education to rebuild Gaza’s damaged infrastructure, drive technological advancement, and stimulate economic growth. This approach is seen as crucial for addressing the practical needs arising from the extensive destruction caused by military actions and occupation. </w:t>
      </w:r>
    </w:p>
    <w:p w14:paraId="700A75C7" w14:textId="77777777" w:rsidR="003B70BD" w:rsidRPr="003B70BD" w:rsidRDefault="003B70BD" w:rsidP="003B70BD">
      <w:pPr>
        <w:spacing w:line="256" w:lineRule="auto"/>
        <w:rPr>
          <w:rFonts w:ascii="Abadi" w:eastAsia="Aptos" w:hAnsi="Abadi" w:cs="Times New Roman"/>
          <w:sz w:val="28"/>
          <w:szCs w:val="28"/>
        </w:rPr>
      </w:pPr>
      <w:r w:rsidRPr="003B70BD">
        <w:rPr>
          <w:rFonts w:ascii="Abadi" w:eastAsia="Aptos" w:hAnsi="Abadi" w:cs="Times New Roman"/>
          <w:sz w:val="28"/>
          <w:szCs w:val="28"/>
        </w:rPr>
        <w:t>On the other hand, Advocate B stressed the vital role of Humanities and Social Sciences in promoting social cohesion, preserving cultural heritage, and addressing the psychological trauma inflicted by Israel's war in Gaza. This perspective underscores the importance of understanding social dynamics and fostering critical thinking and civic engagement to ensure a resilient and just society. Both advocates agree that a balanced approach, integrating both STEM and Humanities, can provide a comprehensive framework for Gaza’s recovery, ensuring that physical rebuilding goes hand in hand with social and cultural healing. This holistic strategy can pave the way for a more stable and prosperous future for Gaza.</w:t>
      </w:r>
    </w:p>
    <w:p w14:paraId="5C555345" w14:textId="77777777" w:rsidR="003B70BD" w:rsidRPr="003B70BD" w:rsidRDefault="003B70BD" w:rsidP="003B70BD">
      <w:pPr>
        <w:spacing w:line="256" w:lineRule="auto"/>
        <w:rPr>
          <w:rFonts w:ascii="Abadi" w:eastAsia="Aptos" w:hAnsi="Abadi" w:cs="Times New Roman"/>
          <w:sz w:val="28"/>
          <w:szCs w:val="28"/>
        </w:rPr>
      </w:pPr>
    </w:p>
    <w:p w14:paraId="50686132" w14:textId="77777777" w:rsidR="003B70BD" w:rsidRPr="003B70BD" w:rsidRDefault="003B70BD" w:rsidP="003B70BD">
      <w:pPr>
        <w:spacing w:line="256" w:lineRule="auto"/>
        <w:rPr>
          <w:rFonts w:ascii="Abadi" w:eastAsia="Aptos" w:hAnsi="Abadi" w:cs="Times New Roman"/>
          <w:b/>
          <w:bCs/>
          <w:sz w:val="28"/>
          <w:szCs w:val="28"/>
        </w:rPr>
      </w:pPr>
      <w:r w:rsidRPr="003B70BD">
        <w:rPr>
          <w:rFonts w:ascii="Abadi" w:eastAsia="Aptos" w:hAnsi="Abadi" w:cs="Times New Roman"/>
          <w:b/>
          <w:bCs/>
          <w:sz w:val="28"/>
          <w:szCs w:val="28"/>
        </w:rPr>
        <w:t>Reflective Questions for Further Consideration</w:t>
      </w:r>
    </w:p>
    <w:p w14:paraId="4F65A0EB" w14:textId="77777777" w:rsidR="003B70BD" w:rsidRPr="003B70BD" w:rsidRDefault="003B70BD" w:rsidP="003B70BD">
      <w:pPr>
        <w:numPr>
          <w:ilvl w:val="0"/>
          <w:numId w:val="24"/>
        </w:numPr>
        <w:spacing w:line="256" w:lineRule="auto"/>
        <w:rPr>
          <w:rFonts w:ascii="Abadi" w:eastAsia="Aptos" w:hAnsi="Abadi" w:cs="Times New Roman"/>
          <w:sz w:val="28"/>
          <w:szCs w:val="28"/>
        </w:rPr>
      </w:pPr>
      <w:r w:rsidRPr="003B70BD">
        <w:rPr>
          <w:rFonts w:ascii="Abadi" w:eastAsia="Aptos" w:hAnsi="Abadi" w:cs="Times New Roman"/>
          <w:sz w:val="28"/>
          <w:szCs w:val="28"/>
        </w:rPr>
        <w:t>How can Gaza’s universities include both STEM and Humanities education in rebuilding efforts?</w:t>
      </w:r>
    </w:p>
    <w:p w14:paraId="08DB247A" w14:textId="77777777" w:rsidR="003B70BD" w:rsidRPr="003B70BD" w:rsidRDefault="003B70BD" w:rsidP="003B70BD">
      <w:pPr>
        <w:numPr>
          <w:ilvl w:val="0"/>
          <w:numId w:val="24"/>
        </w:numPr>
        <w:spacing w:line="256" w:lineRule="auto"/>
        <w:rPr>
          <w:rFonts w:ascii="Abadi" w:eastAsia="Aptos" w:hAnsi="Abadi" w:cs="Times New Roman"/>
          <w:sz w:val="28"/>
          <w:szCs w:val="28"/>
        </w:rPr>
      </w:pPr>
      <w:r w:rsidRPr="003B70BD">
        <w:rPr>
          <w:rFonts w:ascii="Abadi" w:eastAsia="Aptos" w:hAnsi="Abadi" w:cs="Times New Roman"/>
          <w:sz w:val="28"/>
          <w:szCs w:val="28"/>
        </w:rPr>
        <w:t>What strategies can help combine the benefits of STEM and Humanities education in Gaza?</w:t>
      </w:r>
    </w:p>
    <w:p w14:paraId="5A130C46" w14:textId="77777777" w:rsidR="003B70BD" w:rsidRPr="003B70BD" w:rsidRDefault="003B70BD" w:rsidP="003B70BD">
      <w:pPr>
        <w:numPr>
          <w:ilvl w:val="0"/>
          <w:numId w:val="24"/>
        </w:numPr>
        <w:spacing w:line="256" w:lineRule="auto"/>
        <w:rPr>
          <w:rFonts w:ascii="Abadi" w:eastAsia="Aptos" w:hAnsi="Abadi" w:cs="Times New Roman"/>
          <w:sz w:val="28"/>
          <w:szCs w:val="28"/>
        </w:rPr>
      </w:pPr>
      <w:r w:rsidRPr="003B70BD">
        <w:rPr>
          <w:rFonts w:ascii="Abadi" w:eastAsia="Aptos" w:hAnsi="Abadi" w:cs="Times New Roman"/>
          <w:sz w:val="28"/>
          <w:szCs w:val="28"/>
        </w:rPr>
        <w:t>How can international support improve education in Gaza’s universities?</w:t>
      </w:r>
    </w:p>
    <w:p w14:paraId="27CABCDD" w14:textId="77777777" w:rsidR="003B70BD" w:rsidRPr="003B70BD" w:rsidRDefault="003B70BD" w:rsidP="003B70BD">
      <w:pPr>
        <w:spacing w:line="256" w:lineRule="auto"/>
        <w:rPr>
          <w:rFonts w:ascii="Abadi" w:eastAsia="Aptos" w:hAnsi="Abadi" w:cs="Times New Roman"/>
          <w:sz w:val="28"/>
          <w:szCs w:val="28"/>
        </w:rPr>
      </w:pPr>
      <w:r w:rsidRPr="003B70BD">
        <w:rPr>
          <w:rFonts w:ascii="Abadi" w:eastAsia="Aptos" w:hAnsi="Abadi" w:cs="Times New Roman"/>
          <w:kern w:val="0"/>
          <w:sz w:val="28"/>
          <w:szCs w:val="28"/>
          <w14:ligatures w14:val="none"/>
        </w:rPr>
        <w:br w:type="page"/>
      </w:r>
    </w:p>
    <w:p w14:paraId="27BC1F30" w14:textId="77777777" w:rsidR="003B70BD" w:rsidRPr="003B70BD" w:rsidRDefault="003B70BD" w:rsidP="0048796E">
      <w:pPr>
        <w:pStyle w:val="Heading1"/>
        <w:pBdr>
          <w:bottom w:val="single" w:sz="4" w:space="1" w:color="auto"/>
        </w:pBdr>
        <w:rPr>
          <w:rFonts w:eastAsia="Times New Roman"/>
          <w:lang w:eastAsia="en-AE"/>
        </w:rPr>
      </w:pPr>
      <w:bookmarkStart w:id="24" w:name="_Toc172743808"/>
      <w:r w:rsidRPr="003B70BD">
        <w:rPr>
          <w:rFonts w:eastAsia="Times New Roman"/>
          <w:lang w:eastAsia="en-AE"/>
        </w:rPr>
        <w:lastRenderedPageBreak/>
        <w:t>Debate Topic 2: Local Faculty Development vs. International Scholars</w:t>
      </w:r>
      <w:bookmarkEnd w:id="24"/>
      <w:r w:rsidRPr="003B70BD">
        <w:rPr>
          <w:rFonts w:eastAsia="Times New Roman"/>
          <w:lang w:eastAsia="en-AE"/>
        </w:rPr>
        <w:br/>
      </w:r>
    </w:p>
    <w:p w14:paraId="7705310D" w14:textId="77777777" w:rsidR="003B70BD" w:rsidRPr="003B70BD" w:rsidRDefault="003B70BD" w:rsidP="003B70BD">
      <w:pPr>
        <w:spacing w:line="256" w:lineRule="auto"/>
        <w:rPr>
          <w:rFonts w:ascii="Abadi" w:eastAsia="Aptos" w:hAnsi="Abadi" w:cs="Times New Roman"/>
          <w:b/>
          <w:bCs/>
          <w:sz w:val="28"/>
          <w:szCs w:val="28"/>
        </w:rPr>
      </w:pPr>
      <w:r w:rsidRPr="003B70BD">
        <w:rPr>
          <w:rFonts w:ascii="Abadi" w:eastAsia="Aptos" w:hAnsi="Abadi" w:cs="Times New Roman"/>
          <w:b/>
          <w:bCs/>
          <w:sz w:val="28"/>
          <w:szCs w:val="28"/>
        </w:rPr>
        <w:t>Debate Topic Overview</w:t>
      </w:r>
    </w:p>
    <w:p w14:paraId="1D37BDE8" w14:textId="77777777" w:rsidR="003B70BD" w:rsidRPr="003B70BD" w:rsidRDefault="003B70BD" w:rsidP="003B70BD">
      <w:pPr>
        <w:spacing w:line="256" w:lineRule="auto"/>
        <w:rPr>
          <w:rFonts w:ascii="Abadi" w:eastAsia="Aptos" w:hAnsi="Abadi" w:cs="Times New Roman"/>
          <w:sz w:val="28"/>
          <w:szCs w:val="28"/>
        </w:rPr>
      </w:pPr>
      <w:r w:rsidRPr="003B70BD">
        <w:rPr>
          <w:rFonts w:ascii="Abadi" w:eastAsia="Aptos" w:hAnsi="Abadi" w:cs="Times New Roman"/>
          <w:sz w:val="28"/>
          <w:szCs w:val="28"/>
        </w:rPr>
        <w:t>This debate addresses whether universities in Gaza should prioritize developing local faculty through enhanced training and support programs or focus on recruiting international scholars to bring diverse perspectives and expertise. Advocates for local faculty development argue that investing in homegrown talent fosters long-term sustainability and cultural relevance. Conversely, proponents of recruiting international scholars emphasize the immediate benefits of global expertise and advanced knowledge to elevate educational standards and innovation.</w:t>
      </w:r>
    </w:p>
    <w:p w14:paraId="7E7D1C42" w14:textId="77777777" w:rsidR="003B70BD" w:rsidRPr="003B70BD" w:rsidRDefault="003B70BD" w:rsidP="003B70BD">
      <w:pPr>
        <w:spacing w:line="256" w:lineRule="auto"/>
        <w:rPr>
          <w:rFonts w:ascii="Abadi" w:eastAsia="Aptos" w:hAnsi="Abadi" w:cs="Times New Roman"/>
          <w:sz w:val="28"/>
          <w:szCs w:val="28"/>
        </w:rPr>
      </w:pPr>
    </w:p>
    <w:p w14:paraId="20B20BE9" w14:textId="77777777" w:rsidR="003B70BD" w:rsidRPr="003B70BD" w:rsidRDefault="003B70BD" w:rsidP="003B70BD">
      <w:pPr>
        <w:spacing w:line="256" w:lineRule="auto"/>
        <w:rPr>
          <w:rFonts w:ascii="Abadi" w:eastAsia="Aptos" w:hAnsi="Abadi" w:cs="Times New Roman"/>
          <w:b/>
          <w:bCs/>
          <w:sz w:val="28"/>
          <w:szCs w:val="28"/>
        </w:rPr>
      </w:pPr>
      <w:r w:rsidRPr="003B70BD">
        <w:rPr>
          <w:rFonts w:ascii="Abadi" w:eastAsia="Aptos" w:hAnsi="Abadi" w:cs="Times New Roman"/>
          <w:b/>
          <w:bCs/>
          <w:sz w:val="28"/>
          <w:szCs w:val="28"/>
        </w:rPr>
        <w:t>Moderator's Presentation</w:t>
      </w:r>
    </w:p>
    <w:p w14:paraId="697FADE7" w14:textId="77777777" w:rsidR="003B70BD" w:rsidRPr="003B70BD" w:rsidRDefault="003B70BD" w:rsidP="003B70BD">
      <w:pPr>
        <w:numPr>
          <w:ilvl w:val="0"/>
          <w:numId w:val="25"/>
        </w:numPr>
        <w:spacing w:line="256" w:lineRule="auto"/>
        <w:rPr>
          <w:rFonts w:ascii="Abadi" w:eastAsia="Aptos" w:hAnsi="Abadi" w:cs="Times New Roman"/>
          <w:sz w:val="28"/>
          <w:szCs w:val="28"/>
        </w:rPr>
      </w:pPr>
      <w:r w:rsidRPr="003B70BD">
        <w:rPr>
          <w:rFonts w:ascii="Abadi" w:eastAsia="Aptos" w:hAnsi="Abadi" w:cs="Times New Roman"/>
          <w:b/>
          <w:bCs/>
          <w:sz w:val="28"/>
          <w:szCs w:val="28"/>
        </w:rPr>
        <w:t>Current Faculty Situation in Gaza</w:t>
      </w:r>
      <w:r w:rsidRPr="003B70BD">
        <w:rPr>
          <w:rFonts w:ascii="Abadi" w:eastAsia="Aptos" w:hAnsi="Abadi" w:cs="Times New Roman"/>
          <w:sz w:val="28"/>
          <w:szCs w:val="28"/>
        </w:rPr>
        <w:t>: Universities in Gaza face significant challenges in retaining and developing local faculty due to the impacts of occupation, military actions, and resource limitations. Many faculty members struggle with access to updated training and research opportunities.</w:t>
      </w:r>
    </w:p>
    <w:p w14:paraId="623F62F6" w14:textId="77777777" w:rsidR="003B70BD" w:rsidRPr="003B70BD" w:rsidRDefault="003B70BD" w:rsidP="003B70BD">
      <w:pPr>
        <w:numPr>
          <w:ilvl w:val="0"/>
          <w:numId w:val="25"/>
        </w:numPr>
        <w:spacing w:line="256" w:lineRule="auto"/>
        <w:rPr>
          <w:rFonts w:ascii="Abadi" w:eastAsia="Aptos" w:hAnsi="Abadi" w:cs="Times New Roman"/>
          <w:sz w:val="28"/>
          <w:szCs w:val="28"/>
        </w:rPr>
      </w:pPr>
      <w:r w:rsidRPr="003B70BD">
        <w:rPr>
          <w:rFonts w:ascii="Abadi" w:eastAsia="Aptos" w:hAnsi="Abadi" w:cs="Times New Roman"/>
          <w:b/>
          <w:bCs/>
          <w:sz w:val="28"/>
          <w:szCs w:val="28"/>
        </w:rPr>
        <w:t>Importance of Local Faculty Development</w:t>
      </w:r>
      <w:r w:rsidRPr="003B70BD">
        <w:rPr>
          <w:rFonts w:ascii="Abadi" w:eastAsia="Aptos" w:hAnsi="Abadi" w:cs="Times New Roman"/>
          <w:sz w:val="28"/>
          <w:szCs w:val="28"/>
        </w:rPr>
        <w:t xml:space="preserve">: Developing local faculty is crucial for the long-term sustainability of Gaza’s educational system. Training and supporting homegrown talent </w:t>
      </w:r>
      <w:proofErr w:type="gramStart"/>
      <w:r w:rsidRPr="003B70BD">
        <w:rPr>
          <w:rFonts w:ascii="Abadi" w:eastAsia="Aptos" w:hAnsi="Abadi" w:cs="Times New Roman"/>
          <w:sz w:val="28"/>
          <w:szCs w:val="28"/>
        </w:rPr>
        <w:t>ensures</w:t>
      </w:r>
      <w:proofErr w:type="gramEnd"/>
      <w:r w:rsidRPr="003B70BD">
        <w:rPr>
          <w:rFonts w:ascii="Abadi" w:eastAsia="Aptos" w:hAnsi="Abadi" w:cs="Times New Roman"/>
          <w:sz w:val="28"/>
          <w:szCs w:val="28"/>
        </w:rPr>
        <w:t xml:space="preserve"> that the education provided is culturally relevant and tailored to the specific needs of the community. According to a report by the World Bank, investing in local faculty enhances educational resilience and self-reliance.</w:t>
      </w:r>
    </w:p>
    <w:p w14:paraId="34C474B9" w14:textId="77777777" w:rsidR="003B70BD" w:rsidRPr="003B70BD" w:rsidRDefault="003B70BD" w:rsidP="003B70BD">
      <w:pPr>
        <w:numPr>
          <w:ilvl w:val="0"/>
          <w:numId w:val="25"/>
        </w:numPr>
        <w:spacing w:line="256" w:lineRule="auto"/>
        <w:rPr>
          <w:rFonts w:ascii="Abadi" w:eastAsia="Aptos" w:hAnsi="Abadi" w:cs="Times New Roman"/>
          <w:sz w:val="28"/>
          <w:szCs w:val="28"/>
        </w:rPr>
      </w:pPr>
      <w:r w:rsidRPr="003B70BD">
        <w:rPr>
          <w:rFonts w:ascii="Abadi" w:eastAsia="Aptos" w:hAnsi="Abadi" w:cs="Times New Roman"/>
          <w:b/>
          <w:bCs/>
          <w:sz w:val="28"/>
          <w:szCs w:val="28"/>
        </w:rPr>
        <w:t>Challenges in Developing Local Faculty</w:t>
      </w:r>
      <w:r w:rsidRPr="003B70BD">
        <w:rPr>
          <w:rFonts w:ascii="Abadi" w:eastAsia="Aptos" w:hAnsi="Abadi" w:cs="Times New Roman"/>
          <w:sz w:val="28"/>
          <w:szCs w:val="28"/>
        </w:rPr>
        <w:t>: Gaza’s isolation and ongoing military actions create barriers to faculty development, including limited access to international conferences, research collaborations, and advanced training programs. Overcoming these challenges requires innovative solutions and significant investment.</w:t>
      </w:r>
    </w:p>
    <w:p w14:paraId="6FBEB29F" w14:textId="77777777" w:rsidR="003B70BD" w:rsidRPr="003B70BD" w:rsidRDefault="003B70BD" w:rsidP="003B70BD">
      <w:pPr>
        <w:numPr>
          <w:ilvl w:val="0"/>
          <w:numId w:val="25"/>
        </w:numPr>
        <w:spacing w:line="256" w:lineRule="auto"/>
        <w:rPr>
          <w:rFonts w:ascii="Abadi" w:eastAsia="Aptos" w:hAnsi="Abadi" w:cs="Times New Roman"/>
          <w:sz w:val="28"/>
          <w:szCs w:val="28"/>
        </w:rPr>
      </w:pPr>
      <w:r w:rsidRPr="003B70BD">
        <w:rPr>
          <w:rFonts w:ascii="Abadi" w:eastAsia="Aptos" w:hAnsi="Abadi" w:cs="Times New Roman"/>
          <w:b/>
          <w:bCs/>
          <w:sz w:val="28"/>
          <w:szCs w:val="28"/>
        </w:rPr>
        <w:t>Advantages of Recruiting International Scholars</w:t>
      </w:r>
      <w:r w:rsidRPr="003B70BD">
        <w:rPr>
          <w:rFonts w:ascii="Abadi" w:eastAsia="Aptos" w:hAnsi="Abadi" w:cs="Times New Roman"/>
          <w:sz w:val="28"/>
          <w:szCs w:val="28"/>
        </w:rPr>
        <w:t xml:space="preserve">: Bringing in international scholars can provide immediate access to diverse expertise, advanced research methods, and global perspectives. This can help elevate the educational standards in Gaza and introduce innovative teaching practices. Research from the International </w:t>
      </w:r>
      <w:r w:rsidRPr="003B70BD">
        <w:rPr>
          <w:rFonts w:ascii="Abadi" w:eastAsia="Aptos" w:hAnsi="Abadi" w:cs="Times New Roman"/>
          <w:sz w:val="28"/>
          <w:szCs w:val="28"/>
        </w:rPr>
        <w:lastRenderedPageBreak/>
        <w:t>Association of Universities highlights the positive impact of international faculty on academic quality and research output.</w:t>
      </w:r>
    </w:p>
    <w:p w14:paraId="01D780AA" w14:textId="77777777" w:rsidR="003B70BD" w:rsidRPr="003B70BD" w:rsidRDefault="003B70BD" w:rsidP="003B70BD">
      <w:pPr>
        <w:numPr>
          <w:ilvl w:val="0"/>
          <w:numId w:val="25"/>
        </w:numPr>
        <w:spacing w:line="256" w:lineRule="auto"/>
        <w:rPr>
          <w:rFonts w:ascii="Abadi" w:eastAsia="Aptos" w:hAnsi="Abadi" w:cs="Times New Roman"/>
          <w:sz w:val="28"/>
          <w:szCs w:val="28"/>
        </w:rPr>
      </w:pPr>
      <w:r w:rsidRPr="003B70BD">
        <w:rPr>
          <w:rFonts w:ascii="Abadi" w:eastAsia="Aptos" w:hAnsi="Abadi" w:cs="Times New Roman"/>
          <w:b/>
          <w:bCs/>
          <w:sz w:val="28"/>
          <w:szCs w:val="28"/>
        </w:rPr>
        <w:t>Cultural Relevance and Community Engagement</w:t>
      </w:r>
      <w:r w:rsidRPr="003B70BD">
        <w:rPr>
          <w:rFonts w:ascii="Abadi" w:eastAsia="Aptos" w:hAnsi="Abadi" w:cs="Times New Roman"/>
          <w:sz w:val="28"/>
          <w:szCs w:val="28"/>
        </w:rPr>
        <w:t>: Local faculty are often more attuned to the cultural and social context of Gaza, making them better positioned to address local issues and engage with the community. This cultural relevance is essential for effective teaching and fostering a sense of belonging among students.</w:t>
      </w:r>
    </w:p>
    <w:p w14:paraId="436FB9D2" w14:textId="77777777" w:rsidR="003B70BD" w:rsidRPr="003B70BD" w:rsidRDefault="003B70BD" w:rsidP="003B70BD">
      <w:pPr>
        <w:numPr>
          <w:ilvl w:val="0"/>
          <w:numId w:val="25"/>
        </w:numPr>
        <w:spacing w:line="256" w:lineRule="auto"/>
        <w:rPr>
          <w:rFonts w:ascii="Abadi" w:eastAsia="Aptos" w:hAnsi="Abadi" w:cs="Times New Roman"/>
          <w:sz w:val="28"/>
          <w:szCs w:val="28"/>
        </w:rPr>
      </w:pPr>
      <w:r w:rsidRPr="003B70BD">
        <w:rPr>
          <w:rFonts w:ascii="Abadi" w:eastAsia="Aptos" w:hAnsi="Abadi" w:cs="Times New Roman"/>
          <w:b/>
          <w:bCs/>
          <w:sz w:val="28"/>
          <w:szCs w:val="28"/>
        </w:rPr>
        <w:t>Knowledge Transfer and Capacity Building</w:t>
      </w:r>
      <w:r w:rsidRPr="003B70BD">
        <w:rPr>
          <w:rFonts w:ascii="Abadi" w:eastAsia="Aptos" w:hAnsi="Abadi" w:cs="Times New Roman"/>
          <w:sz w:val="28"/>
          <w:szCs w:val="28"/>
        </w:rPr>
        <w:t>: International scholars can contribute to knowledge transfer and capacity building by collaborating with local faculty, offering mentorship, and introducing new academic networks. This collaborative approach can enhance the overall academic environment and provide professional development opportunities for local faculty.</w:t>
      </w:r>
    </w:p>
    <w:p w14:paraId="303892BF" w14:textId="77777777" w:rsidR="003B70BD" w:rsidRPr="003B70BD" w:rsidRDefault="003B70BD" w:rsidP="003B70BD">
      <w:pPr>
        <w:numPr>
          <w:ilvl w:val="0"/>
          <w:numId w:val="25"/>
        </w:numPr>
        <w:spacing w:line="256" w:lineRule="auto"/>
        <w:rPr>
          <w:rFonts w:ascii="Abadi" w:eastAsia="Aptos" w:hAnsi="Abadi" w:cs="Times New Roman"/>
          <w:sz w:val="28"/>
          <w:szCs w:val="28"/>
        </w:rPr>
      </w:pPr>
      <w:r w:rsidRPr="003B70BD">
        <w:rPr>
          <w:rFonts w:ascii="Abadi" w:eastAsia="Aptos" w:hAnsi="Abadi" w:cs="Times New Roman"/>
          <w:b/>
          <w:bCs/>
          <w:sz w:val="28"/>
          <w:szCs w:val="28"/>
        </w:rPr>
        <w:t>Sustainability and Long-Term Impact</w:t>
      </w:r>
      <w:r w:rsidRPr="003B70BD">
        <w:rPr>
          <w:rFonts w:ascii="Abadi" w:eastAsia="Aptos" w:hAnsi="Abadi" w:cs="Times New Roman"/>
          <w:sz w:val="28"/>
          <w:szCs w:val="28"/>
        </w:rPr>
        <w:t>: While international scholars can offer immediate benefits, long-term sustainability relies on developing local talent. Building a robust local faculty ensures that the educational system can continue to thrive independently of external factors.</w:t>
      </w:r>
    </w:p>
    <w:p w14:paraId="0562719F" w14:textId="77777777" w:rsidR="003B70BD" w:rsidRPr="003B70BD" w:rsidRDefault="003B70BD" w:rsidP="003B70BD">
      <w:pPr>
        <w:numPr>
          <w:ilvl w:val="0"/>
          <w:numId w:val="25"/>
        </w:numPr>
        <w:spacing w:line="256" w:lineRule="auto"/>
        <w:rPr>
          <w:rFonts w:ascii="Abadi" w:eastAsia="Aptos" w:hAnsi="Abadi" w:cs="Times New Roman"/>
          <w:sz w:val="28"/>
          <w:szCs w:val="28"/>
        </w:rPr>
      </w:pPr>
      <w:r w:rsidRPr="003B70BD">
        <w:rPr>
          <w:rFonts w:ascii="Abadi" w:eastAsia="Aptos" w:hAnsi="Abadi" w:cs="Times New Roman"/>
          <w:b/>
          <w:bCs/>
          <w:sz w:val="28"/>
          <w:szCs w:val="28"/>
        </w:rPr>
        <w:t>Economic Considerations</w:t>
      </w:r>
      <w:r w:rsidRPr="003B70BD">
        <w:rPr>
          <w:rFonts w:ascii="Abadi" w:eastAsia="Aptos" w:hAnsi="Abadi" w:cs="Times New Roman"/>
          <w:sz w:val="28"/>
          <w:szCs w:val="28"/>
        </w:rPr>
        <w:t>: Investing in local faculty development can be more cost-effective in the long run, as it reduces reliance on external experts and fosters local economic growth. Conversely, recruiting international scholars may involve higher costs related to salaries, relocation, and support services.</w:t>
      </w:r>
    </w:p>
    <w:p w14:paraId="2CAD9823" w14:textId="77777777" w:rsidR="003B70BD" w:rsidRPr="003B70BD" w:rsidRDefault="003B70BD" w:rsidP="003B70BD">
      <w:pPr>
        <w:numPr>
          <w:ilvl w:val="0"/>
          <w:numId w:val="25"/>
        </w:numPr>
        <w:spacing w:line="256" w:lineRule="auto"/>
        <w:rPr>
          <w:rFonts w:ascii="Abadi" w:eastAsia="Aptos" w:hAnsi="Abadi" w:cs="Times New Roman"/>
          <w:sz w:val="28"/>
          <w:szCs w:val="28"/>
        </w:rPr>
      </w:pPr>
      <w:r w:rsidRPr="003B70BD">
        <w:rPr>
          <w:rFonts w:ascii="Abadi" w:eastAsia="Aptos" w:hAnsi="Abadi" w:cs="Times New Roman"/>
          <w:b/>
          <w:bCs/>
          <w:sz w:val="28"/>
          <w:szCs w:val="28"/>
        </w:rPr>
        <w:t>Case Studies and Comparative Analysis</w:t>
      </w:r>
      <w:r w:rsidRPr="003B70BD">
        <w:rPr>
          <w:rFonts w:ascii="Abadi" w:eastAsia="Aptos" w:hAnsi="Abadi" w:cs="Times New Roman"/>
          <w:sz w:val="28"/>
          <w:szCs w:val="28"/>
        </w:rPr>
        <w:t>: Examining other post-occupation regions, such as Lebanon and Bosnia, reveals that a balanced approach, integrating both local faculty development and international collaboration, has been successful in rebuilding educational systems and enhancing academic quality.</w:t>
      </w:r>
    </w:p>
    <w:p w14:paraId="1AB2331C" w14:textId="77777777" w:rsidR="003B70BD" w:rsidRPr="003B70BD" w:rsidRDefault="003B70BD" w:rsidP="003B70BD">
      <w:pPr>
        <w:numPr>
          <w:ilvl w:val="0"/>
          <w:numId w:val="25"/>
        </w:numPr>
        <w:spacing w:line="256" w:lineRule="auto"/>
        <w:rPr>
          <w:rFonts w:ascii="Abadi" w:eastAsia="Aptos" w:hAnsi="Abadi" w:cs="Times New Roman"/>
          <w:sz w:val="28"/>
          <w:szCs w:val="28"/>
        </w:rPr>
      </w:pPr>
      <w:r w:rsidRPr="003B70BD">
        <w:rPr>
          <w:rFonts w:ascii="Abadi" w:eastAsia="Aptos" w:hAnsi="Abadi" w:cs="Times New Roman"/>
          <w:b/>
          <w:bCs/>
          <w:sz w:val="28"/>
          <w:szCs w:val="28"/>
        </w:rPr>
        <w:t>Stakeholder Perspectives</w:t>
      </w:r>
      <w:r w:rsidRPr="003B70BD">
        <w:rPr>
          <w:rFonts w:ascii="Abadi" w:eastAsia="Aptos" w:hAnsi="Abadi" w:cs="Times New Roman"/>
          <w:sz w:val="28"/>
          <w:szCs w:val="28"/>
        </w:rPr>
        <w:t>: Engaging with various stakeholders, including government bodies, educational institutions, faculty, students, and international partners, is crucial in shaping a strategy that meets Gaza’s unique needs. Their input can guide the balance between local faculty development and international recruitment.</w:t>
      </w:r>
    </w:p>
    <w:p w14:paraId="415F7C15" w14:textId="77777777" w:rsidR="003B70BD" w:rsidRPr="003B70BD" w:rsidRDefault="003B70BD" w:rsidP="003B70BD">
      <w:pPr>
        <w:spacing w:line="256" w:lineRule="auto"/>
        <w:rPr>
          <w:rFonts w:ascii="Abadi" w:eastAsia="Aptos" w:hAnsi="Abadi" w:cs="Times New Roman"/>
          <w:sz w:val="28"/>
          <w:szCs w:val="28"/>
        </w:rPr>
      </w:pPr>
    </w:p>
    <w:p w14:paraId="07281357" w14:textId="77777777" w:rsidR="003B70BD" w:rsidRPr="003B70BD" w:rsidRDefault="003B70BD" w:rsidP="003B70BD">
      <w:pPr>
        <w:spacing w:line="256" w:lineRule="auto"/>
        <w:rPr>
          <w:rFonts w:ascii="Abadi" w:eastAsia="Aptos" w:hAnsi="Abadi" w:cs="Times New Roman"/>
          <w:b/>
          <w:bCs/>
          <w:sz w:val="28"/>
          <w:szCs w:val="28"/>
        </w:rPr>
      </w:pPr>
      <w:r w:rsidRPr="003B70BD">
        <w:rPr>
          <w:rFonts w:ascii="Abadi" w:eastAsia="Aptos" w:hAnsi="Abadi" w:cs="Times New Roman"/>
          <w:b/>
          <w:bCs/>
          <w:sz w:val="28"/>
          <w:szCs w:val="28"/>
        </w:rPr>
        <w:br/>
      </w:r>
    </w:p>
    <w:p w14:paraId="373BCEC7" w14:textId="77777777" w:rsidR="0048796E" w:rsidRDefault="0048796E" w:rsidP="003B70BD">
      <w:pPr>
        <w:spacing w:line="256" w:lineRule="auto"/>
        <w:rPr>
          <w:rFonts w:ascii="Abadi" w:eastAsia="Aptos" w:hAnsi="Abadi" w:cs="Times New Roman"/>
          <w:b/>
          <w:bCs/>
          <w:sz w:val="28"/>
          <w:szCs w:val="28"/>
        </w:rPr>
      </w:pPr>
    </w:p>
    <w:p w14:paraId="277A9EB0" w14:textId="55FBC830" w:rsidR="003B70BD" w:rsidRPr="003B70BD" w:rsidRDefault="003B70BD" w:rsidP="003B70BD">
      <w:pPr>
        <w:spacing w:line="256" w:lineRule="auto"/>
        <w:rPr>
          <w:rFonts w:ascii="Abadi" w:eastAsia="Aptos" w:hAnsi="Abadi" w:cs="Times New Roman"/>
          <w:b/>
          <w:bCs/>
          <w:sz w:val="28"/>
          <w:szCs w:val="28"/>
        </w:rPr>
      </w:pPr>
      <w:r w:rsidRPr="003B70BD">
        <w:rPr>
          <w:rFonts w:ascii="Abadi" w:eastAsia="Aptos" w:hAnsi="Abadi" w:cs="Times New Roman"/>
          <w:b/>
          <w:bCs/>
          <w:sz w:val="28"/>
          <w:szCs w:val="28"/>
        </w:rPr>
        <w:lastRenderedPageBreak/>
        <w:t>Advocate A Presentation: In Support of Local Faculty Development</w:t>
      </w:r>
    </w:p>
    <w:p w14:paraId="2626949D" w14:textId="77777777" w:rsidR="003B70BD" w:rsidRPr="003B70BD" w:rsidRDefault="003B70BD" w:rsidP="003B70BD">
      <w:pPr>
        <w:spacing w:line="256" w:lineRule="auto"/>
        <w:rPr>
          <w:rFonts w:ascii="Abadi" w:eastAsia="Aptos" w:hAnsi="Abadi" w:cs="Times New Roman"/>
          <w:sz w:val="28"/>
          <w:szCs w:val="28"/>
        </w:rPr>
      </w:pPr>
      <w:r w:rsidRPr="003B70BD">
        <w:rPr>
          <w:rFonts w:ascii="Abadi" w:eastAsia="Aptos" w:hAnsi="Abadi" w:cs="Times New Roman"/>
          <w:sz w:val="28"/>
          <w:szCs w:val="28"/>
        </w:rPr>
        <w:t>Developing local faculty is essential for the long-term sustainability and cultural relevance of Gaza’s universities. Here are five detailed and research-backed points supporting this view:</w:t>
      </w:r>
    </w:p>
    <w:p w14:paraId="31201A3C" w14:textId="77777777" w:rsidR="003B70BD" w:rsidRPr="003B70BD" w:rsidRDefault="003B70BD" w:rsidP="003B70BD">
      <w:pPr>
        <w:numPr>
          <w:ilvl w:val="0"/>
          <w:numId w:val="26"/>
        </w:numPr>
        <w:spacing w:line="256" w:lineRule="auto"/>
        <w:rPr>
          <w:rFonts w:ascii="Abadi" w:eastAsia="Aptos" w:hAnsi="Abadi" w:cs="Times New Roman"/>
          <w:sz w:val="28"/>
          <w:szCs w:val="28"/>
        </w:rPr>
      </w:pPr>
      <w:r w:rsidRPr="003B70BD">
        <w:rPr>
          <w:rFonts w:ascii="Abadi" w:eastAsia="Aptos" w:hAnsi="Abadi" w:cs="Times New Roman"/>
          <w:b/>
          <w:bCs/>
          <w:sz w:val="28"/>
          <w:szCs w:val="28"/>
        </w:rPr>
        <w:t>Cultural Relevance and Community Engagement</w:t>
      </w:r>
      <w:r w:rsidRPr="003B70BD">
        <w:rPr>
          <w:rFonts w:ascii="Abadi" w:eastAsia="Aptos" w:hAnsi="Abadi" w:cs="Times New Roman"/>
          <w:sz w:val="28"/>
          <w:szCs w:val="28"/>
        </w:rPr>
        <w:t>: Local faculty members possess a deep understanding of the cultural, social, and political context of Gaza. This cultural relevance enhances their ability to connect with students and address local issues effectively. A study by the American Council on Education highlights that faculty who share cultural backgrounds with their students can create more inclusive and supportive learning environments, which is crucial for fostering student success and community engagement.</w:t>
      </w:r>
    </w:p>
    <w:p w14:paraId="379B4969" w14:textId="77777777" w:rsidR="003B70BD" w:rsidRPr="003B70BD" w:rsidRDefault="003B70BD" w:rsidP="003B70BD">
      <w:pPr>
        <w:numPr>
          <w:ilvl w:val="0"/>
          <w:numId w:val="26"/>
        </w:numPr>
        <w:spacing w:line="256" w:lineRule="auto"/>
        <w:rPr>
          <w:rFonts w:ascii="Abadi" w:eastAsia="Aptos" w:hAnsi="Abadi" w:cs="Times New Roman"/>
          <w:sz w:val="28"/>
          <w:szCs w:val="28"/>
        </w:rPr>
      </w:pPr>
      <w:r w:rsidRPr="003B70BD">
        <w:rPr>
          <w:rFonts w:ascii="Abadi" w:eastAsia="Aptos" w:hAnsi="Abadi" w:cs="Times New Roman"/>
          <w:b/>
          <w:bCs/>
          <w:sz w:val="28"/>
          <w:szCs w:val="28"/>
        </w:rPr>
        <w:t>Long-Term Sustainability</w:t>
      </w:r>
      <w:r w:rsidRPr="003B70BD">
        <w:rPr>
          <w:rFonts w:ascii="Abadi" w:eastAsia="Aptos" w:hAnsi="Abadi" w:cs="Times New Roman"/>
          <w:sz w:val="28"/>
          <w:szCs w:val="28"/>
        </w:rPr>
        <w:t>: Investing in local faculty development ensures that Gaza’s universities can sustain their educational programs independently of external factors. This independence is particularly important given the unpredictable nature of international support, which can be influenced by political and economic changes. According to UNESCO, building local capacity is fundamental for the long-term resilience and stability of educational institutions in post-occupation regions.</w:t>
      </w:r>
    </w:p>
    <w:p w14:paraId="5B5C2446" w14:textId="77777777" w:rsidR="003B70BD" w:rsidRPr="003B70BD" w:rsidRDefault="003B70BD" w:rsidP="003B70BD">
      <w:pPr>
        <w:numPr>
          <w:ilvl w:val="0"/>
          <w:numId w:val="26"/>
        </w:numPr>
        <w:spacing w:line="256" w:lineRule="auto"/>
        <w:rPr>
          <w:rFonts w:ascii="Abadi" w:eastAsia="Aptos" w:hAnsi="Abadi" w:cs="Times New Roman"/>
          <w:sz w:val="28"/>
          <w:szCs w:val="28"/>
        </w:rPr>
      </w:pPr>
      <w:r w:rsidRPr="003B70BD">
        <w:rPr>
          <w:rFonts w:ascii="Abadi" w:eastAsia="Aptos" w:hAnsi="Abadi" w:cs="Times New Roman"/>
          <w:b/>
          <w:bCs/>
          <w:sz w:val="28"/>
          <w:szCs w:val="28"/>
        </w:rPr>
        <w:t>Economic Growth and Stability</w:t>
      </w:r>
      <w:r w:rsidRPr="003B70BD">
        <w:rPr>
          <w:rFonts w:ascii="Abadi" w:eastAsia="Aptos" w:hAnsi="Abadi" w:cs="Times New Roman"/>
          <w:sz w:val="28"/>
          <w:szCs w:val="28"/>
        </w:rPr>
        <w:t>: Developing local faculty can stimulate economic growth by reducing reliance on expensive international experts and retaining talent within the community. This retention helps build a robust local economy and provides stable employment opportunities. Research by the World Bank indicates that local capacity building contributes significantly to economic development and reduces brain drain, a phenomenon where educated individuals leave their home country for better opportunities abroad.</w:t>
      </w:r>
    </w:p>
    <w:p w14:paraId="78E8772E" w14:textId="77777777" w:rsidR="003B70BD" w:rsidRPr="003B70BD" w:rsidRDefault="003B70BD" w:rsidP="003B70BD">
      <w:pPr>
        <w:numPr>
          <w:ilvl w:val="0"/>
          <w:numId w:val="26"/>
        </w:numPr>
        <w:spacing w:line="256" w:lineRule="auto"/>
        <w:rPr>
          <w:rFonts w:ascii="Abadi" w:eastAsia="Aptos" w:hAnsi="Abadi" w:cs="Times New Roman"/>
          <w:sz w:val="28"/>
          <w:szCs w:val="28"/>
        </w:rPr>
      </w:pPr>
      <w:r w:rsidRPr="003B70BD">
        <w:rPr>
          <w:rFonts w:ascii="Abadi" w:eastAsia="Aptos" w:hAnsi="Abadi" w:cs="Times New Roman"/>
          <w:b/>
          <w:bCs/>
          <w:sz w:val="28"/>
          <w:szCs w:val="28"/>
        </w:rPr>
        <w:t>Tailored Educational Programs</w:t>
      </w:r>
      <w:r w:rsidRPr="003B70BD">
        <w:rPr>
          <w:rFonts w:ascii="Abadi" w:eastAsia="Aptos" w:hAnsi="Abadi" w:cs="Times New Roman"/>
          <w:sz w:val="28"/>
          <w:szCs w:val="28"/>
        </w:rPr>
        <w:t>: Local faculty are better positioned to design and implement educational programs that meet the specific needs of Gaza’s students and communities. These tailored programs can address local challenges and opportunities, making education more relevant and impactful. The Journal of Education for Sustainable Development emphasizes that context-specific education is more effective in achieving sustainable development goals and fostering local innovation.</w:t>
      </w:r>
    </w:p>
    <w:p w14:paraId="0931132E" w14:textId="77777777" w:rsidR="003B70BD" w:rsidRPr="003B70BD" w:rsidRDefault="003B70BD" w:rsidP="003B70BD">
      <w:pPr>
        <w:numPr>
          <w:ilvl w:val="0"/>
          <w:numId w:val="26"/>
        </w:numPr>
        <w:spacing w:line="256" w:lineRule="auto"/>
        <w:rPr>
          <w:rFonts w:ascii="Abadi" w:eastAsia="Aptos" w:hAnsi="Abadi" w:cs="Times New Roman"/>
          <w:sz w:val="28"/>
          <w:szCs w:val="28"/>
        </w:rPr>
      </w:pPr>
      <w:r w:rsidRPr="003B70BD">
        <w:rPr>
          <w:rFonts w:ascii="Abadi" w:eastAsia="Aptos" w:hAnsi="Abadi" w:cs="Times New Roman"/>
          <w:b/>
          <w:bCs/>
          <w:sz w:val="28"/>
          <w:szCs w:val="28"/>
        </w:rPr>
        <w:lastRenderedPageBreak/>
        <w:t>Professional Growth and Development</w:t>
      </w:r>
      <w:r w:rsidRPr="003B70BD">
        <w:rPr>
          <w:rFonts w:ascii="Abadi" w:eastAsia="Aptos" w:hAnsi="Abadi" w:cs="Times New Roman"/>
          <w:sz w:val="28"/>
          <w:szCs w:val="28"/>
        </w:rPr>
        <w:t>: Investing in the professional growth of local faculty through training programs, research opportunities, and academic collaborations can elevate the overall quality of education in Gaza. Providing local faculty with access to continuous professional development ensures they remain current with global educational trends and practices. A report by the International Institute for Educational Planning (IIEP) highlights the importance of ongoing professional development in maintaining high educational standards and fostering a culture of excellence within educational institutions.</w:t>
      </w:r>
    </w:p>
    <w:p w14:paraId="3AB97BBE" w14:textId="77777777" w:rsidR="003B70BD" w:rsidRPr="003B70BD" w:rsidRDefault="003B70BD" w:rsidP="003B70BD">
      <w:pPr>
        <w:spacing w:line="256" w:lineRule="auto"/>
        <w:rPr>
          <w:rFonts w:ascii="Abadi" w:eastAsia="Aptos" w:hAnsi="Abadi" w:cs="Times New Roman"/>
          <w:sz w:val="28"/>
          <w:szCs w:val="28"/>
        </w:rPr>
      </w:pPr>
    </w:p>
    <w:p w14:paraId="78CCEC0E" w14:textId="77777777" w:rsidR="003B70BD" w:rsidRPr="003B70BD" w:rsidRDefault="003B70BD" w:rsidP="003B70BD">
      <w:pPr>
        <w:spacing w:line="256" w:lineRule="auto"/>
        <w:rPr>
          <w:rFonts w:ascii="Abadi" w:eastAsia="Aptos" w:hAnsi="Abadi" w:cs="Times New Roman"/>
          <w:b/>
          <w:bCs/>
          <w:sz w:val="28"/>
          <w:szCs w:val="28"/>
        </w:rPr>
      </w:pPr>
      <w:r w:rsidRPr="003B70BD">
        <w:rPr>
          <w:rFonts w:ascii="Abadi" w:eastAsia="Aptos" w:hAnsi="Abadi" w:cs="Times New Roman"/>
          <w:b/>
          <w:bCs/>
          <w:sz w:val="28"/>
          <w:szCs w:val="28"/>
        </w:rPr>
        <w:t>Advocate B Presentation: In Support of International Scholars</w:t>
      </w:r>
    </w:p>
    <w:p w14:paraId="6888D297" w14:textId="77777777" w:rsidR="003B70BD" w:rsidRPr="003B70BD" w:rsidRDefault="003B70BD" w:rsidP="003B70BD">
      <w:pPr>
        <w:spacing w:line="256" w:lineRule="auto"/>
        <w:rPr>
          <w:rFonts w:ascii="Abadi" w:eastAsia="Aptos" w:hAnsi="Abadi" w:cs="Times New Roman"/>
          <w:sz w:val="28"/>
          <w:szCs w:val="28"/>
        </w:rPr>
      </w:pPr>
      <w:r w:rsidRPr="003B70BD">
        <w:rPr>
          <w:rFonts w:ascii="Abadi" w:eastAsia="Aptos" w:hAnsi="Abadi" w:cs="Times New Roman"/>
          <w:sz w:val="28"/>
          <w:szCs w:val="28"/>
        </w:rPr>
        <w:t>Recruiting international scholars is essential for enhancing the educational standards and global integration of Gaza’s universities. Here are five detailed and research-backed points supporting this view:</w:t>
      </w:r>
    </w:p>
    <w:p w14:paraId="6403CE49" w14:textId="77777777" w:rsidR="003B70BD" w:rsidRPr="003B70BD" w:rsidRDefault="003B70BD" w:rsidP="003B70BD">
      <w:pPr>
        <w:numPr>
          <w:ilvl w:val="0"/>
          <w:numId w:val="27"/>
        </w:numPr>
        <w:spacing w:line="256" w:lineRule="auto"/>
        <w:rPr>
          <w:rFonts w:ascii="Abadi" w:eastAsia="Aptos" w:hAnsi="Abadi" w:cs="Times New Roman"/>
          <w:sz w:val="28"/>
          <w:szCs w:val="28"/>
        </w:rPr>
      </w:pPr>
      <w:r w:rsidRPr="003B70BD">
        <w:rPr>
          <w:rFonts w:ascii="Abadi" w:eastAsia="Aptos" w:hAnsi="Abadi" w:cs="Times New Roman"/>
          <w:b/>
          <w:bCs/>
          <w:sz w:val="28"/>
          <w:szCs w:val="28"/>
        </w:rPr>
        <w:t>Immediate Access to Global Expertise</w:t>
      </w:r>
      <w:r w:rsidRPr="003B70BD">
        <w:rPr>
          <w:rFonts w:ascii="Abadi" w:eastAsia="Aptos" w:hAnsi="Abadi" w:cs="Times New Roman"/>
          <w:sz w:val="28"/>
          <w:szCs w:val="28"/>
        </w:rPr>
        <w:t>: International scholars bring diverse perspectives and advanced expertise that can significantly elevate the academic standards of Gaza’s universities. Their knowledge and experience in various fields can introduce cutting-edge research methods and innovative teaching practices. According to a study by the International Association of Universities, the presence of international faculty enhances the academic environment by fostering diversity and promoting high-quality research and education.</w:t>
      </w:r>
    </w:p>
    <w:p w14:paraId="010DA1C9" w14:textId="77777777" w:rsidR="003B70BD" w:rsidRPr="003B70BD" w:rsidRDefault="003B70BD" w:rsidP="003B70BD">
      <w:pPr>
        <w:numPr>
          <w:ilvl w:val="0"/>
          <w:numId w:val="27"/>
        </w:numPr>
        <w:spacing w:line="256" w:lineRule="auto"/>
        <w:rPr>
          <w:rFonts w:ascii="Abadi" w:eastAsia="Aptos" w:hAnsi="Abadi" w:cs="Times New Roman"/>
          <w:sz w:val="28"/>
          <w:szCs w:val="28"/>
        </w:rPr>
      </w:pPr>
      <w:r w:rsidRPr="003B70BD">
        <w:rPr>
          <w:rFonts w:ascii="Abadi" w:eastAsia="Aptos" w:hAnsi="Abadi" w:cs="Times New Roman"/>
          <w:b/>
          <w:bCs/>
          <w:sz w:val="28"/>
          <w:szCs w:val="28"/>
        </w:rPr>
        <w:t>Building Global Networks and Collaborations</w:t>
      </w:r>
      <w:r w:rsidRPr="003B70BD">
        <w:rPr>
          <w:rFonts w:ascii="Abadi" w:eastAsia="Aptos" w:hAnsi="Abadi" w:cs="Times New Roman"/>
          <w:sz w:val="28"/>
          <w:szCs w:val="28"/>
        </w:rPr>
        <w:t>: International scholars can help establish global academic networks and collaborations, providing Gaza’s universities with opportunities to participate in international research projects and conferences. This global engagement can facilitate the exchange of knowledge and resources, which is crucial for academic development. The British Council highlights that international academic partnerships can lead to increased research output, enhanced reputation, and access to global funding opportunities.</w:t>
      </w:r>
    </w:p>
    <w:p w14:paraId="030458A4" w14:textId="77777777" w:rsidR="003B70BD" w:rsidRPr="003B70BD" w:rsidRDefault="003B70BD" w:rsidP="003B70BD">
      <w:pPr>
        <w:numPr>
          <w:ilvl w:val="0"/>
          <w:numId w:val="27"/>
        </w:numPr>
        <w:spacing w:line="256" w:lineRule="auto"/>
        <w:rPr>
          <w:rFonts w:ascii="Abadi" w:eastAsia="Aptos" w:hAnsi="Abadi" w:cs="Times New Roman"/>
          <w:sz w:val="28"/>
          <w:szCs w:val="28"/>
        </w:rPr>
      </w:pPr>
      <w:r w:rsidRPr="003B70BD">
        <w:rPr>
          <w:rFonts w:ascii="Abadi" w:eastAsia="Aptos" w:hAnsi="Abadi" w:cs="Times New Roman"/>
          <w:b/>
          <w:bCs/>
          <w:sz w:val="28"/>
          <w:szCs w:val="28"/>
        </w:rPr>
        <w:t>Knowledge Transfer and Capacity Building</w:t>
      </w:r>
      <w:r w:rsidRPr="003B70BD">
        <w:rPr>
          <w:rFonts w:ascii="Abadi" w:eastAsia="Aptos" w:hAnsi="Abadi" w:cs="Times New Roman"/>
          <w:sz w:val="28"/>
          <w:szCs w:val="28"/>
        </w:rPr>
        <w:t xml:space="preserve">: The presence of international scholars can facilitate knowledge transfer to local faculty and students, enhancing their skills and competencies. Through mentorship and collaborative research, international scholars can help build the capacity of local academics, ensuring that </w:t>
      </w:r>
      <w:r w:rsidRPr="003B70BD">
        <w:rPr>
          <w:rFonts w:ascii="Abadi" w:eastAsia="Aptos" w:hAnsi="Abadi" w:cs="Times New Roman"/>
          <w:sz w:val="28"/>
          <w:szCs w:val="28"/>
        </w:rPr>
        <w:lastRenderedPageBreak/>
        <w:t>advanced knowledge and techniques are shared and implemented. Research from the Journal of Higher Education Policy and Management indicates that such collaborations are vital for developing local expertise and fostering a culture of continuous improvement in educational institutions.</w:t>
      </w:r>
    </w:p>
    <w:p w14:paraId="58C93D08" w14:textId="77777777" w:rsidR="003B70BD" w:rsidRPr="003B70BD" w:rsidRDefault="003B70BD" w:rsidP="003B70BD">
      <w:pPr>
        <w:numPr>
          <w:ilvl w:val="0"/>
          <w:numId w:val="27"/>
        </w:numPr>
        <w:spacing w:line="256" w:lineRule="auto"/>
        <w:rPr>
          <w:rFonts w:ascii="Abadi" w:eastAsia="Aptos" w:hAnsi="Abadi" w:cs="Times New Roman"/>
          <w:sz w:val="28"/>
          <w:szCs w:val="28"/>
        </w:rPr>
      </w:pPr>
      <w:r w:rsidRPr="003B70BD">
        <w:rPr>
          <w:rFonts w:ascii="Abadi" w:eastAsia="Aptos" w:hAnsi="Abadi" w:cs="Times New Roman"/>
          <w:b/>
          <w:bCs/>
          <w:sz w:val="28"/>
          <w:szCs w:val="28"/>
        </w:rPr>
        <w:t>Enhancing Academic Reputation</w:t>
      </w:r>
      <w:r w:rsidRPr="003B70BD">
        <w:rPr>
          <w:rFonts w:ascii="Abadi" w:eastAsia="Aptos" w:hAnsi="Abadi" w:cs="Times New Roman"/>
          <w:sz w:val="28"/>
          <w:szCs w:val="28"/>
        </w:rPr>
        <w:t>: The recruitment of distinguished international scholars can significantly enhance the reputation of Gaza’s universities on a global scale. This improved reputation can attract more students, faculty, and funding, contributing to the overall growth and development of the institutions. A study by the Times Higher Education Supplement shows that universities with a strong international faculty presence are often ranked higher and perceived as more prestigious, leading to increased opportunities for their students and graduates.</w:t>
      </w:r>
    </w:p>
    <w:p w14:paraId="3B373CC0" w14:textId="77777777" w:rsidR="003B70BD" w:rsidRPr="003B70BD" w:rsidRDefault="003B70BD" w:rsidP="003B70BD">
      <w:pPr>
        <w:numPr>
          <w:ilvl w:val="0"/>
          <w:numId w:val="27"/>
        </w:numPr>
        <w:spacing w:line="256" w:lineRule="auto"/>
        <w:rPr>
          <w:rFonts w:ascii="Abadi" w:eastAsia="Aptos" w:hAnsi="Abadi" w:cs="Times New Roman"/>
          <w:sz w:val="28"/>
          <w:szCs w:val="28"/>
        </w:rPr>
      </w:pPr>
      <w:r w:rsidRPr="003B70BD">
        <w:rPr>
          <w:rFonts w:ascii="Abadi" w:eastAsia="Aptos" w:hAnsi="Abadi" w:cs="Times New Roman"/>
          <w:b/>
          <w:bCs/>
          <w:sz w:val="28"/>
          <w:szCs w:val="28"/>
        </w:rPr>
        <w:t>Promoting Intercultural Understanding and Tolerance</w:t>
      </w:r>
      <w:r w:rsidRPr="003B70BD">
        <w:rPr>
          <w:rFonts w:ascii="Abadi" w:eastAsia="Aptos" w:hAnsi="Abadi" w:cs="Times New Roman"/>
          <w:sz w:val="28"/>
          <w:szCs w:val="28"/>
        </w:rPr>
        <w:t xml:space="preserve">: International scholars can introduce students to different cultures and viewpoints, promoting intercultural understanding and tolerance. This exposure is particularly important in a region like Gaza, where fostering peace and social cohesion is crucial. The American Council on Education underscores the role of international faculty in creating a more inclusive and </w:t>
      </w:r>
      <w:proofErr w:type="gramStart"/>
      <w:r w:rsidRPr="003B70BD">
        <w:rPr>
          <w:rFonts w:ascii="Abadi" w:eastAsia="Aptos" w:hAnsi="Abadi" w:cs="Times New Roman"/>
          <w:sz w:val="28"/>
          <w:szCs w:val="28"/>
        </w:rPr>
        <w:t>globally-minded</w:t>
      </w:r>
      <w:proofErr w:type="gramEnd"/>
      <w:r w:rsidRPr="003B70BD">
        <w:rPr>
          <w:rFonts w:ascii="Abadi" w:eastAsia="Aptos" w:hAnsi="Abadi" w:cs="Times New Roman"/>
          <w:sz w:val="28"/>
          <w:szCs w:val="28"/>
        </w:rPr>
        <w:t xml:space="preserve"> educational environment, which can help students develop the skills needed to navigate and contribute to a diverse world.</w:t>
      </w:r>
    </w:p>
    <w:p w14:paraId="51225F00" w14:textId="77777777" w:rsidR="003B70BD" w:rsidRPr="003B70BD" w:rsidRDefault="003B70BD" w:rsidP="003B70BD">
      <w:pPr>
        <w:spacing w:line="256" w:lineRule="auto"/>
        <w:rPr>
          <w:rFonts w:ascii="Abadi" w:eastAsia="Aptos" w:hAnsi="Abadi" w:cs="Times New Roman"/>
          <w:sz w:val="28"/>
          <w:szCs w:val="28"/>
        </w:rPr>
      </w:pPr>
    </w:p>
    <w:p w14:paraId="2EA36741" w14:textId="77777777" w:rsidR="003B70BD" w:rsidRPr="003B70BD" w:rsidRDefault="003B70BD" w:rsidP="003B70BD">
      <w:pPr>
        <w:spacing w:line="256" w:lineRule="auto"/>
        <w:rPr>
          <w:rFonts w:ascii="Abadi" w:eastAsia="Aptos" w:hAnsi="Abadi" w:cs="Times New Roman"/>
          <w:b/>
          <w:bCs/>
          <w:sz w:val="28"/>
          <w:szCs w:val="28"/>
        </w:rPr>
      </w:pPr>
      <w:r w:rsidRPr="003B70BD">
        <w:rPr>
          <w:rFonts w:ascii="Abadi" w:eastAsia="Aptos" w:hAnsi="Abadi" w:cs="Times New Roman"/>
          <w:b/>
          <w:bCs/>
          <w:sz w:val="28"/>
          <w:szCs w:val="28"/>
        </w:rPr>
        <w:t>Advocate A Responding to Advocate B</w:t>
      </w:r>
    </w:p>
    <w:p w14:paraId="4DBD03CD" w14:textId="77777777" w:rsidR="003B70BD" w:rsidRPr="003B70BD" w:rsidRDefault="003B70BD" w:rsidP="003B70BD">
      <w:pPr>
        <w:spacing w:line="256" w:lineRule="auto"/>
        <w:rPr>
          <w:rFonts w:ascii="Abadi" w:eastAsia="Aptos" w:hAnsi="Abadi" w:cs="Times New Roman"/>
          <w:sz w:val="28"/>
          <w:szCs w:val="28"/>
        </w:rPr>
      </w:pPr>
      <w:r w:rsidRPr="003B70BD">
        <w:rPr>
          <w:rFonts w:ascii="Abadi" w:eastAsia="Aptos" w:hAnsi="Abadi" w:cs="Times New Roman"/>
          <w:sz w:val="28"/>
          <w:szCs w:val="28"/>
        </w:rPr>
        <w:t>While the benefits of recruiting international scholars for their global expertise, advanced research methods, and diverse perspectives are recognized, it is crucial to focus on the development of local faculty for long-term sustainability and cultural relevance. Local faculty possess a deep understanding of Gaza's unique social, cultural, and political context, enabling them to design and implement educational programs that directly address local needs. Moreover, investing in local talent fosters economic stability, reduces reliance on external resources, and ensures that the educational system remains resilient despite the challenges posed by occupation and military actions. Building local capacity is fundamental for the future independence and strength of Gaza's universities.</w:t>
      </w:r>
    </w:p>
    <w:p w14:paraId="6747AB7C" w14:textId="77777777" w:rsidR="003B70BD" w:rsidRPr="003B70BD" w:rsidRDefault="003B70BD" w:rsidP="003B70BD">
      <w:pPr>
        <w:spacing w:line="256" w:lineRule="auto"/>
        <w:rPr>
          <w:rFonts w:ascii="Abadi" w:eastAsia="Aptos" w:hAnsi="Abadi" w:cs="Times New Roman"/>
          <w:sz w:val="28"/>
          <w:szCs w:val="28"/>
        </w:rPr>
      </w:pPr>
    </w:p>
    <w:p w14:paraId="438A8FFC" w14:textId="77777777" w:rsidR="003B70BD" w:rsidRPr="003B70BD" w:rsidRDefault="003B70BD" w:rsidP="003B70BD">
      <w:pPr>
        <w:spacing w:line="256" w:lineRule="auto"/>
        <w:rPr>
          <w:rFonts w:ascii="Abadi" w:eastAsia="Aptos" w:hAnsi="Abadi" w:cs="Times New Roman"/>
          <w:b/>
          <w:bCs/>
          <w:sz w:val="28"/>
          <w:szCs w:val="28"/>
        </w:rPr>
      </w:pPr>
      <w:r w:rsidRPr="003B70BD">
        <w:rPr>
          <w:rFonts w:ascii="Abadi" w:eastAsia="Aptos" w:hAnsi="Abadi" w:cs="Times New Roman"/>
          <w:b/>
          <w:bCs/>
          <w:sz w:val="28"/>
          <w:szCs w:val="28"/>
        </w:rPr>
        <w:lastRenderedPageBreak/>
        <w:t>Advocate B Responding to Advocate A</w:t>
      </w:r>
    </w:p>
    <w:p w14:paraId="35C28B84" w14:textId="77777777" w:rsidR="003B70BD" w:rsidRPr="003B70BD" w:rsidRDefault="003B70BD" w:rsidP="003B70BD">
      <w:pPr>
        <w:spacing w:line="256" w:lineRule="auto"/>
        <w:rPr>
          <w:rFonts w:ascii="Abadi" w:eastAsia="Aptos" w:hAnsi="Abadi" w:cs="Times New Roman"/>
          <w:sz w:val="28"/>
          <w:szCs w:val="28"/>
        </w:rPr>
      </w:pPr>
      <w:r w:rsidRPr="003B70BD">
        <w:rPr>
          <w:rFonts w:ascii="Abadi" w:eastAsia="Aptos" w:hAnsi="Abadi" w:cs="Times New Roman"/>
          <w:sz w:val="28"/>
          <w:szCs w:val="28"/>
        </w:rPr>
        <w:t>While the development of local faculty is essential for cultural relevance and long-term sustainability, the immediate needs of Gaza's educational system, severely impacted by Israel's war on Gaza, require the expertise and innovative approaches that international scholars can provide. These scholars bring cutting-edge research, advanced teaching methods, and global networks that are crucial for elevating academic standards quickly. Their presence can significantly enhance the reputation of Gaza’s universities, attract international funding, and foster collaborations that can benefit local faculty and students alike. Therefore, a balanced approach that includes both local faculty development and the recruitment of international scholars is necessary for comprehensive academic growth and recovery.</w:t>
      </w:r>
    </w:p>
    <w:p w14:paraId="036F200C" w14:textId="77777777" w:rsidR="003B70BD" w:rsidRPr="003B70BD" w:rsidRDefault="003B70BD" w:rsidP="003B70BD">
      <w:pPr>
        <w:spacing w:line="256" w:lineRule="auto"/>
        <w:rPr>
          <w:rFonts w:ascii="Abadi" w:eastAsia="Aptos" w:hAnsi="Abadi" w:cs="Times New Roman"/>
          <w:sz w:val="28"/>
          <w:szCs w:val="28"/>
        </w:rPr>
      </w:pPr>
    </w:p>
    <w:p w14:paraId="592D1EB6" w14:textId="77777777" w:rsidR="003B70BD" w:rsidRPr="003B70BD" w:rsidRDefault="003B70BD" w:rsidP="003B70BD">
      <w:pPr>
        <w:spacing w:line="256" w:lineRule="auto"/>
        <w:rPr>
          <w:rFonts w:ascii="Abadi" w:eastAsia="Aptos" w:hAnsi="Abadi" w:cs="Times New Roman"/>
          <w:b/>
          <w:bCs/>
          <w:sz w:val="28"/>
          <w:szCs w:val="28"/>
        </w:rPr>
      </w:pPr>
      <w:r w:rsidRPr="003B70BD">
        <w:rPr>
          <w:rFonts w:ascii="Abadi" w:eastAsia="Aptos" w:hAnsi="Abadi" w:cs="Times New Roman"/>
          <w:b/>
          <w:bCs/>
          <w:sz w:val="28"/>
          <w:szCs w:val="28"/>
        </w:rPr>
        <w:t>Moderator's Summary</w:t>
      </w:r>
    </w:p>
    <w:p w14:paraId="3300085B" w14:textId="77777777" w:rsidR="003B70BD" w:rsidRPr="003B70BD" w:rsidRDefault="003B70BD" w:rsidP="003B70BD">
      <w:pPr>
        <w:spacing w:line="256" w:lineRule="auto"/>
        <w:rPr>
          <w:rFonts w:ascii="Abadi" w:eastAsia="Aptos" w:hAnsi="Abadi" w:cs="Times New Roman"/>
          <w:sz w:val="28"/>
          <w:szCs w:val="28"/>
        </w:rPr>
      </w:pPr>
      <w:r w:rsidRPr="003B70BD">
        <w:rPr>
          <w:rFonts w:ascii="Abadi" w:eastAsia="Aptos" w:hAnsi="Abadi" w:cs="Times New Roman"/>
          <w:sz w:val="28"/>
          <w:szCs w:val="28"/>
        </w:rPr>
        <w:t xml:space="preserve">The debate on prioritizing local faculty development versus recruiting international scholars for Gaza’s universities underscores the complexities of rebuilding an educational system in a post-occupation and post-war context. Advocate A emphasized the importance of investing in local faculty to ensure long-term sustainability, cultural relevance, and economic stability. Local faculty's deep understanding of Gaza's unique social and cultural landscape allows them to create tailored educational programs that directly address community needs. </w:t>
      </w:r>
    </w:p>
    <w:p w14:paraId="234D558A" w14:textId="77777777" w:rsidR="003B70BD" w:rsidRPr="003B70BD" w:rsidRDefault="003B70BD" w:rsidP="003B70BD">
      <w:pPr>
        <w:spacing w:line="256" w:lineRule="auto"/>
        <w:rPr>
          <w:rFonts w:ascii="Abadi" w:eastAsia="Aptos" w:hAnsi="Abadi" w:cs="Times New Roman"/>
          <w:sz w:val="28"/>
          <w:szCs w:val="28"/>
        </w:rPr>
      </w:pPr>
      <w:r w:rsidRPr="003B70BD">
        <w:rPr>
          <w:rFonts w:ascii="Abadi" w:eastAsia="Aptos" w:hAnsi="Abadi" w:cs="Times New Roman"/>
          <w:sz w:val="28"/>
          <w:szCs w:val="28"/>
        </w:rPr>
        <w:t>On the other hand, Advocate B highlighted the immediate benefits of recruiting international scholars who bring advanced expertise, innovative teaching methods, and global networks. These scholars can significantly elevate academic standards, enhance the reputation of Gaza’s universities, and foster international collaborations that benefit the entire academic community. Both advocates agree that a balanced approach, integrating local faculty development with the recruitment of international scholars, can provide a comprehensive framework for educational excellence and recovery. This strategy ensures that Gaza’s universities can rebuild and thrive, leveraging both local knowledge and global expertise.</w:t>
      </w:r>
    </w:p>
    <w:p w14:paraId="68D757BC" w14:textId="77777777" w:rsidR="003B70BD" w:rsidRPr="003B70BD" w:rsidRDefault="003B70BD" w:rsidP="003B70BD">
      <w:pPr>
        <w:spacing w:line="256" w:lineRule="auto"/>
        <w:rPr>
          <w:rFonts w:ascii="Abadi" w:eastAsia="Aptos" w:hAnsi="Abadi" w:cs="Times New Roman"/>
          <w:sz w:val="28"/>
          <w:szCs w:val="28"/>
        </w:rPr>
      </w:pPr>
    </w:p>
    <w:p w14:paraId="3AA02C78" w14:textId="77777777" w:rsidR="00007F5F" w:rsidRDefault="00007F5F">
      <w:pPr>
        <w:rPr>
          <w:rFonts w:ascii="Abadi" w:eastAsia="Aptos" w:hAnsi="Abadi" w:cs="Times New Roman"/>
          <w:b/>
          <w:bCs/>
          <w:sz w:val="28"/>
          <w:szCs w:val="28"/>
        </w:rPr>
      </w:pPr>
      <w:r>
        <w:rPr>
          <w:rFonts w:ascii="Abadi" w:eastAsia="Aptos" w:hAnsi="Abadi" w:cs="Times New Roman"/>
          <w:b/>
          <w:bCs/>
          <w:sz w:val="28"/>
          <w:szCs w:val="28"/>
        </w:rPr>
        <w:br w:type="page"/>
      </w:r>
    </w:p>
    <w:p w14:paraId="284DC7E0" w14:textId="50DFF3FE" w:rsidR="003B70BD" w:rsidRPr="003B70BD" w:rsidRDefault="003B70BD" w:rsidP="003B70BD">
      <w:pPr>
        <w:spacing w:line="256" w:lineRule="auto"/>
        <w:rPr>
          <w:rFonts w:ascii="Abadi" w:eastAsia="Aptos" w:hAnsi="Abadi" w:cs="Times New Roman"/>
          <w:b/>
          <w:bCs/>
          <w:sz w:val="28"/>
          <w:szCs w:val="28"/>
        </w:rPr>
      </w:pPr>
      <w:r w:rsidRPr="003B70BD">
        <w:rPr>
          <w:rFonts w:ascii="Abadi" w:eastAsia="Aptos" w:hAnsi="Abadi" w:cs="Times New Roman"/>
          <w:b/>
          <w:bCs/>
          <w:sz w:val="28"/>
          <w:szCs w:val="28"/>
        </w:rPr>
        <w:lastRenderedPageBreak/>
        <w:t>Reflective Questions for Further Consideration</w:t>
      </w:r>
    </w:p>
    <w:p w14:paraId="53B61C42" w14:textId="3EFC3E52" w:rsidR="00007F5F" w:rsidRPr="00007F5F" w:rsidRDefault="00007F5F" w:rsidP="00007F5F">
      <w:pPr>
        <w:pStyle w:val="ListParagraph"/>
        <w:numPr>
          <w:ilvl w:val="0"/>
          <w:numId w:val="41"/>
        </w:numPr>
        <w:spacing w:line="256" w:lineRule="auto"/>
        <w:rPr>
          <w:rFonts w:ascii="Abadi" w:eastAsia="Aptos" w:hAnsi="Abadi" w:cs="Times New Roman"/>
          <w:sz w:val="28"/>
          <w:szCs w:val="28"/>
        </w:rPr>
      </w:pPr>
      <w:r w:rsidRPr="00007F5F">
        <w:rPr>
          <w:rFonts w:ascii="Abadi" w:eastAsia="Aptos" w:hAnsi="Abadi" w:cs="Times New Roman"/>
          <w:sz w:val="28"/>
          <w:szCs w:val="28"/>
        </w:rPr>
        <w:t>How can universities in Gaza balance developing local faculty while also hiring international scholars?</w:t>
      </w:r>
    </w:p>
    <w:p w14:paraId="0C66E972" w14:textId="671506C7" w:rsidR="00007F5F" w:rsidRPr="00007F5F" w:rsidRDefault="00007F5F" w:rsidP="00007F5F">
      <w:pPr>
        <w:pStyle w:val="ListParagraph"/>
        <w:numPr>
          <w:ilvl w:val="0"/>
          <w:numId w:val="41"/>
        </w:numPr>
        <w:spacing w:line="256" w:lineRule="auto"/>
        <w:rPr>
          <w:rFonts w:ascii="Abadi" w:eastAsia="Aptos" w:hAnsi="Abadi" w:cs="Times New Roman"/>
          <w:sz w:val="28"/>
          <w:szCs w:val="28"/>
        </w:rPr>
      </w:pPr>
      <w:r w:rsidRPr="00007F5F">
        <w:rPr>
          <w:rFonts w:ascii="Abadi" w:eastAsia="Aptos" w:hAnsi="Abadi" w:cs="Times New Roman"/>
          <w:sz w:val="28"/>
          <w:szCs w:val="28"/>
        </w:rPr>
        <w:t>What strategies can help local and international faculty improve Gaza's university education and culture?</w:t>
      </w:r>
    </w:p>
    <w:p w14:paraId="243CE30B" w14:textId="6E143A24" w:rsidR="003B70BD" w:rsidRPr="00007F5F" w:rsidRDefault="00007F5F" w:rsidP="00007F5F">
      <w:pPr>
        <w:pStyle w:val="ListParagraph"/>
        <w:numPr>
          <w:ilvl w:val="0"/>
          <w:numId w:val="41"/>
        </w:numPr>
        <w:spacing w:line="256" w:lineRule="auto"/>
        <w:rPr>
          <w:rFonts w:ascii="Abadi" w:eastAsia="Aptos" w:hAnsi="Abadi" w:cs="Times New Roman"/>
          <w:sz w:val="28"/>
          <w:szCs w:val="28"/>
        </w:rPr>
      </w:pPr>
      <w:r w:rsidRPr="00007F5F">
        <w:rPr>
          <w:rFonts w:ascii="Abadi" w:eastAsia="Aptos" w:hAnsi="Abadi" w:cs="Times New Roman"/>
          <w:sz w:val="28"/>
          <w:szCs w:val="28"/>
        </w:rPr>
        <w:t>How can international partnerships help develop local faculty and raise educational standards in Gaza?</w:t>
      </w:r>
      <w:r w:rsidR="003B70BD" w:rsidRPr="00007F5F">
        <w:rPr>
          <w:rFonts w:ascii="Abadi" w:eastAsia="Aptos" w:hAnsi="Abadi" w:cs="Times New Roman"/>
          <w:kern w:val="0"/>
          <w:sz w:val="28"/>
          <w:szCs w:val="28"/>
          <w14:ligatures w14:val="none"/>
        </w:rPr>
        <w:br w:type="page"/>
      </w:r>
    </w:p>
    <w:p w14:paraId="4EDEF509" w14:textId="77777777" w:rsidR="003B70BD" w:rsidRPr="003B70BD" w:rsidRDefault="003B70BD" w:rsidP="0048796E">
      <w:pPr>
        <w:pStyle w:val="Heading1"/>
        <w:pBdr>
          <w:bottom w:val="single" w:sz="4" w:space="1" w:color="auto"/>
        </w:pBdr>
        <w:rPr>
          <w:rFonts w:eastAsia="Times New Roman"/>
          <w:lang w:eastAsia="en-AE"/>
        </w:rPr>
      </w:pPr>
      <w:bookmarkStart w:id="25" w:name="_Toc172743809"/>
      <w:r w:rsidRPr="003B70BD">
        <w:rPr>
          <w:rFonts w:eastAsia="Times New Roman"/>
          <w:lang w:eastAsia="en-AE"/>
        </w:rPr>
        <w:lastRenderedPageBreak/>
        <w:t>Debate Topic 3: Research and Development vs. Employment Training</w:t>
      </w:r>
      <w:bookmarkEnd w:id="25"/>
      <w:r w:rsidRPr="003B70BD">
        <w:rPr>
          <w:rFonts w:eastAsia="Times New Roman"/>
          <w:lang w:eastAsia="en-AE"/>
        </w:rPr>
        <w:br/>
      </w:r>
    </w:p>
    <w:p w14:paraId="5A6B4484" w14:textId="77777777" w:rsidR="003B70BD" w:rsidRPr="003B70BD" w:rsidRDefault="003B70BD" w:rsidP="003B70BD">
      <w:pPr>
        <w:spacing w:line="256" w:lineRule="auto"/>
        <w:rPr>
          <w:rFonts w:ascii="Abadi" w:eastAsia="Aptos" w:hAnsi="Abadi" w:cs="Times New Roman"/>
          <w:b/>
          <w:bCs/>
          <w:sz w:val="28"/>
          <w:szCs w:val="28"/>
        </w:rPr>
      </w:pPr>
      <w:r w:rsidRPr="003B70BD">
        <w:rPr>
          <w:rFonts w:ascii="Abadi" w:eastAsia="Aptos" w:hAnsi="Abadi" w:cs="Times New Roman"/>
          <w:b/>
          <w:bCs/>
          <w:sz w:val="28"/>
          <w:szCs w:val="28"/>
        </w:rPr>
        <w:t>Debate Topic Overview</w:t>
      </w:r>
    </w:p>
    <w:p w14:paraId="60306B85" w14:textId="77777777" w:rsidR="003B70BD" w:rsidRPr="003B70BD" w:rsidRDefault="003B70BD" w:rsidP="003B70BD">
      <w:pPr>
        <w:spacing w:line="256" w:lineRule="auto"/>
        <w:rPr>
          <w:rFonts w:ascii="Abadi" w:eastAsia="Aptos" w:hAnsi="Abadi" w:cs="Times New Roman"/>
          <w:sz w:val="28"/>
          <w:szCs w:val="28"/>
        </w:rPr>
      </w:pPr>
      <w:r w:rsidRPr="003B70BD">
        <w:rPr>
          <w:rFonts w:ascii="Abadi" w:eastAsia="Aptos" w:hAnsi="Abadi" w:cs="Times New Roman"/>
          <w:sz w:val="28"/>
          <w:szCs w:val="28"/>
        </w:rPr>
        <w:t>This debate focuses on whether universities in Gaza should prioritize research and development (R&amp;D) activities or concentrate on employment training programs to address immediate economic needs. Advocates for R&amp;D emphasize the importance of advancing knowledge, fostering innovation, and developing long-term solutions to Gaza’s challenges. Conversely, proponents of employment training argue that providing students with practical skills for immediate job placement is crucial for economic recovery and stability in the short term.</w:t>
      </w:r>
    </w:p>
    <w:p w14:paraId="3C99B8EA" w14:textId="77777777" w:rsidR="003B70BD" w:rsidRPr="003B70BD" w:rsidRDefault="003B70BD" w:rsidP="003B70BD">
      <w:pPr>
        <w:spacing w:line="256" w:lineRule="auto"/>
        <w:rPr>
          <w:rFonts w:ascii="Abadi" w:eastAsia="Aptos" w:hAnsi="Abadi" w:cs="Times New Roman"/>
          <w:sz w:val="28"/>
          <w:szCs w:val="28"/>
        </w:rPr>
      </w:pPr>
    </w:p>
    <w:p w14:paraId="7057BC8D" w14:textId="77777777" w:rsidR="003B70BD" w:rsidRPr="003B70BD" w:rsidRDefault="003B70BD" w:rsidP="003B70BD">
      <w:pPr>
        <w:spacing w:line="256" w:lineRule="auto"/>
        <w:rPr>
          <w:rFonts w:ascii="Abadi" w:eastAsia="Aptos" w:hAnsi="Abadi" w:cs="Times New Roman"/>
          <w:b/>
          <w:bCs/>
          <w:sz w:val="28"/>
          <w:szCs w:val="28"/>
        </w:rPr>
      </w:pPr>
      <w:r w:rsidRPr="003B70BD">
        <w:rPr>
          <w:rFonts w:ascii="Abadi" w:eastAsia="Aptos" w:hAnsi="Abadi" w:cs="Times New Roman"/>
          <w:b/>
          <w:bCs/>
          <w:sz w:val="28"/>
          <w:szCs w:val="28"/>
        </w:rPr>
        <w:t>Moderator's Presentation</w:t>
      </w:r>
    </w:p>
    <w:p w14:paraId="70E95B5D" w14:textId="77777777" w:rsidR="003B70BD" w:rsidRPr="003B70BD" w:rsidRDefault="003B70BD" w:rsidP="003B70BD">
      <w:pPr>
        <w:numPr>
          <w:ilvl w:val="0"/>
          <w:numId w:val="29"/>
        </w:numPr>
        <w:spacing w:line="256" w:lineRule="auto"/>
        <w:rPr>
          <w:rFonts w:ascii="Abadi" w:eastAsia="Aptos" w:hAnsi="Abadi" w:cs="Times New Roman"/>
          <w:sz w:val="28"/>
          <w:szCs w:val="28"/>
        </w:rPr>
      </w:pPr>
      <w:r w:rsidRPr="003B70BD">
        <w:rPr>
          <w:rFonts w:ascii="Abadi" w:eastAsia="Aptos" w:hAnsi="Abadi" w:cs="Times New Roman"/>
          <w:b/>
          <w:bCs/>
          <w:sz w:val="28"/>
          <w:szCs w:val="28"/>
        </w:rPr>
        <w:t>Current Economic and Educational Landscape</w:t>
      </w:r>
      <w:r w:rsidRPr="003B70BD">
        <w:rPr>
          <w:rFonts w:ascii="Abadi" w:eastAsia="Aptos" w:hAnsi="Abadi" w:cs="Times New Roman"/>
          <w:sz w:val="28"/>
          <w:szCs w:val="28"/>
        </w:rPr>
        <w:t>: Gaza’s universities operate under challenging conditions due to the occupation and the impacts of Israel's war in Gaza. The local economy is severely strained, with high unemployment rates and limited job opportunities for graduates. Addressing these immediate economic needs is critical for stability and growth.</w:t>
      </w:r>
    </w:p>
    <w:p w14:paraId="4362FF96" w14:textId="77777777" w:rsidR="003B70BD" w:rsidRPr="003B70BD" w:rsidRDefault="003B70BD" w:rsidP="003B70BD">
      <w:pPr>
        <w:numPr>
          <w:ilvl w:val="0"/>
          <w:numId w:val="29"/>
        </w:numPr>
        <w:spacing w:line="256" w:lineRule="auto"/>
        <w:rPr>
          <w:rFonts w:ascii="Abadi" w:eastAsia="Aptos" w:hAnsi="Abadi" w:cs="Times New Roman"/>
          <w:sz w:val="28"/>
          <w:szCs w:val="28"/>
        </w:rPr>
      </w:pPr>
      <w:r w:rsidRPr="003B70BD">
        <w:rPr>
          <w:rFonts w:ascii="Abadi" w:eastAsia="Aptos" w:hAnsi="Abadi" w:cs="Times New Roman"/>
          <w:b/>
          <w:bCs/>
          <w:sz w:val="28"/>
          <w:szCs w:val="28"/>
        </w:rPr>
        <w:t>Importance of Research and Development (R&amp;D)</w:t>
      </w:r>
      <w:r w:rsidRPr="003B70BD">
        <w:rPr>
          <w:rFonts w:ascii="Abadi" w:eastAsia="Aptos" w:hAnsi="Abadi" w:cs="Times New Roman"/>
          <w:sz w:val="28"/>
          <w:szCs w:val="28"/>
        </w:rPr>
        <w:t>: R&amp;D is essential for advancing knowledge, fostering innovation, and creating long-term solutions to Gaza’s unique challenges. Investing in R&amp;D can lead to breakthroughs in various fields, including healthcare, engineering, and environmental sustainability. A report by the World Bank underscores the role of R&amp;D in driving economic growth and addressing systemic issues through innovation.</w:t>
      </w:r>
    </w:p>
    <w:p w14:paraId="47F4009F" w14:textId="77777777" w:rsidR="003B70BD" w:rsidRPr="003B70BD" w:rsidRDefault="003B70BD" w:rsidP="003B70BD">
      <w:pPr>
        <w:numPr>
          <w:ilvl w:val="0"/>
          <w:numId w:val="29"/>
        </w:numPr>
        <w:spacing w:line="256" w:lineRule="auto"/>
        <w:rPr>
          <w:rFonts w:ascii="Abadi" w:eastAsia="Aptos" w:hAnsi="Abadi" w:cs="Times New Roman"/>
          <w:sz w:val="28"/>
          <w:szCs w:val="28"/>
        </w:rPr>
      </w:pPr>
      <w:r w:rsidRPr="003B70BD">
        <w:rPr>
          <w:rFonts w:ascii="Abadi" w:eastAsia="Aptos" w:hAnsi="Abadi" w:cs="Times New Roman"/>
          <w:b/>
          <w:bCs/>
          <w:sz w:val="28"/>
          <w:szCs w:val="28"/>
        </w:rPr>
        <w:t>Long-Term Benefits of R&amp;D</w:t>
      </w:r>
      <w:r w:rsidRPr="003B70BD">
        <w:rPr>
          <w:rFonts w:ascii="Abadi" w:eastAsia="Aptos" w:hAnsi="Abadi" w:cs="Times New Roman"/>
          <w:sz w:val="28"/>
          <w:szCs w:val="28"/>
        </w:rPr>
        <w:t xml:space="preserve">: Prioritizing R&amp;D can establish Gaza as a </w:t>
      </w:r>
      <w:proofErr w:type="spellStart"/>
      <w:r w:rsidRPr="003B70BD">
        <w:rPr>
          <w:rFonts w:ascii="Abadi" w:eastAsia="Aptos" w:hAnsi="Abadi" w:cs="Times New Roman"/>
          <w:sz w:val="28"/>
          <w:szCs w:val="28"/>
        </w:rPr>
        <w:t>center</w:t>
      </w:r>
      <w:proofErr w:type="spellEnd"/>
      <w:r w:rsidRPr="003B70BD">
        <w:rPr>
          <w:rFonts w:ascii="Abadi" w:eastAsia="Aptos" w:hAnsi="Abadi" w:cs="Times New Roman"/>
          <w:sz w:val="28"/>
          <w:szCs w:val="28"/>
        </w:rPr>
        <w:t xml:space="preserve"> of innovation and intellectual growth. This can attract international partnerships, funding, and talent, contributing to the global academic community. According to UNESCO, regions that invest in R&amp;D see significant advancements in technology and economic development over time.</w:t>
      </w:r>
    </w:p>
    <w:p w14:paraId="76C8B983" w14:textId="77777777" w:rsidR="003B70BD" w:rsidRPr="003B70BD" w:rsidRDefault="003B70BD" w:rsidP="003B70BD">
      <w:pPr>
        <w:numPr>
          <w:ilvl w:val="0"/>
          <w:numId w:val="29"/>
        </w:numPr>
        <w:spacing w:line="256" w:lineRule="auto"/>
        <w:rPr>
          <w:rFonts w:ascii="Abadi" w:eastAsia="Aptos" w:hAnsi="Abadi" w:cs="Times New Roman"/>
          <w:sz w:val="28"/>
          <w:szCs w:val="28"/>
        </w:rPr>
      </w:pPr>
      <w:r w:rsidRPr="003B70BD">
        <w:rPr>
          <w:rFonts w:ascii="Abadi" w:eastAsia="Aptos" w:hAnsi="Abadi" w:cs="Times New Roman"/>
          <w:b/>
          <w:bCs/>
          <w:sz w:val="28"/>
          <w:szCs w:val="28"/>
        </w:rPr>
        <w:t>Challenges in R&amp;D Implementation</w:t>
      </w:r>
      <w:r w:rsidRPr="003B70BD">
        <w:rPr>
          <w:rFonts w:ascii="Abadi" w:eastAsia="Aptos" w:hAnsi="Abadi" w:cs="Times New Roman"/>
          <w:sz w:val="28"/>
          <w:szCs w:val="28"/>
        </w:rPr>
        <w:t xml:space="preserve">: Gaza faces significant barriers to effective R&amp;D, including limited funding, inadequate infrastructure, and restricted access to global research networks. Overcoming these </w:t>
      </w:r>
      <w:r w:rsidRPr="003B70BD">
        <w:rPr>
          <w:rFonts w:ascii="Abadi" w:eastAsia="Aptos" w:hAnsi="Abadi" w:cs="Times New Roman"/>
          <w:sz w:val="28"/>
          <w:szCs w:val="28"/>
        </w:rPr>
        <w:lastRenderedPageBreak/>
        <w:t>challenges requires substantial investment and support from both local and international stakeholders.</w:t>
      </w:r>
    </w:p>
    <w:p w14:paraId="0D81CA0F" w14:textId="77777777" w:rsidR="003B70BD" w:rsidRPr="003B70BD" w:rsidRDefault="003B70BD" w:rsidP="003B70BD">
      <w:pPr>
        <w:numPr>
          <w:ilvl w:val="0"/>
          <w:numId w:val="29"/>
        </w:numPr>
        <w:spacing w:line="256" w:lineRule="auto"/>
        <w:rPr>
          <w:rFonts w:ascii="Abadi" w:eastAsia="Aptos" w:hAnsi="Abadi" w:cs="Times New Roman"/>
          <w:sz w:val="28"/>
          <w:szCs w:val="28"/>
        </w:rPr>
      </w:pPr>
      <w:r w:rsidRPr="003B70BD">
        <w:rPr>
          <w:rFonts w:ascii="Abadi" w:eastAsia="Aptos" w:hAnsi="Abadi" w:cs="Times New Roman"/>
          <w:b/>
          <w:bCs/>
          <w:sz w:val="28"/>
          <w:szCs w:val="28"/>
        </w:rPr>
        <w:t>Need for Employment Training</w:t>
      </w:r>
      <w:r w:rsidRPr="003B70BD">
        <w:rPr>
          <w:rFonts w:ascii="Abadi" w:eastAsia="Aptos" w:hAnsi="Abadi" w:cs="Times New Roman"/>
          <w:sz w:val="28"/>
          <w:szCs w:val="28"/>
        </w:rPr>
        <w:t>: Given the immediate economic challenges, there is a pressing need for employment training programs that equip students with practical skills for the job market. These programs can provide quick relief by addressing the high unemployment rates and helping graduates secure jobs. Research from the International Labour Organization (ILO) highlights the effectiveness of vocational and employment training in post-war recovery and economic stabilization.</w:t>
      </w:r>
    </w:p>
    <w:p w14:paraId="4731517A" w14:textId="77777777" w:rsidR="003B70BD" w:rsidRPr="003B70BD" w:rsidRDefault="003B70BD" w:rsidP="003B70BD">
      <w:pPr>
        <w:numPr>
          <w:ilvl w:val="0"/>
          <w:numId w:val="29"/>
        </w:numPr>
        <w:spacing w:line="256" w:lineRule="auto"/>
        <w:rPr>
          <w:rFonts w:ascii="Abadi" w:eastAsia="Aptos" w:hAnsi="Abadi" w:cs="Times New Roman"/>
          <w:sz w:val="28"/>
          <w:szCs w:val="28"/>
        </w:rPr>
      </w:pPr>
      <w:r w:rsidRPr="003B70BD">
        <w:rPr>
          <w:rFonts w:ascii="Abadi" w:eastAsia="Aptos" w:hAnsi="Abadi" w:cs="Times New Roman"/>
          <w:b/>
          <w:bCs/>
          <w:sz w:val="28"/>
          <w:szCs w:val="28"/>
        </w:rPr>
        <w:t>Economic Recovery through Employment Training</w:t>
      </w:r>
      <w:r w:rsidRPr="003B70BD">
        <w:rPr>
          <w:rFonts w:ascii="Abadi" w:eastAsia="Aptos" w:hAnsi="Abadi" w:cs="Times New Roman"/>
          <w:sz w:val="28"/>
          <w:szCs w:val="28"/>
        </w:rPr>
        <w:t>: By focusing on employment training, universities can directly contribute to economic recovery by producing a workforce that meets the immediate demands of local industries. This approach can help reduce poverty, improve living standards, and stabilize the community in the short term.</w:t>
      </w:r>
    </w:p>
    <w:p w14:paraId="4A0F9FB8" w14:textId="77777777" w:rsidR="003B70BD" w:rsidRPr="003B70BD" w:rsidRDefault="003B70BD" w:rsidP="003B70BD">
      <w:pPr>
        <w:numPr>
          <w:ilvl w:val="0"/>
          <w:numId w:val="29"/>
        </w:numPr>
        <w:spacing w:line="256" w:lineRule="auto"/>
        <w:rPr>
          <w:rFonts w:ascii="Abadi" w:eastAsia="Aptos" w:hAnsi="Abadi" w:cs="Times New Roman"/>
          <w:sz w:val="28"/>
          <w:szCs w:val="28"/>
        </w:rPr>
      </w:pPr>
      <w:r w:rsidRPr="003B70BD">
        <w:rPr>
          <w:rFonts w:ascii="Abadi" w:eastAsia="Aptos" w:hAnsi="Abadi" w:cs="Times New Roman"/>
          <w:b/>
          <w:bCs/>
          <w:sz w:val="28"/>
          <w:szCs w:val="28"/>
        </w:rPr>
        <w:t>Balancing Short-Term and Long-Term Goals</w:t>
      </w:r>
      <w:r w:rsidRPr="003B70BD">
        <w:rPr>
          <w:rFonts w:ascii="Abadi" w:eastAsia="Aptos" w:hAnsi="Abadi" w:cs="Times New Roman"/>
          <w:sz w:val="28"/>
          <w:szCs w:val="28"/>
        </w:rPr>
        <w:t>: The debate highlights the need to balance short-term economic recovery with long-term innovation and development. While employment training addresses urgent needs, R&amp;D paves the way for sustainable growth and resilience.</w:t>
      </w:r>
    </w:p>
    <w:p w14:paraId="546F2CFC" w14:textId="77777777" w:rsidR="003B70BD" w:rsidRPr="003B70BD" w:rsidRDefault="003B70BD" w:rsidP="003B70BD">
      <w:pPr>
        <w:numPr>
          <w:ilvl w:val="0"/>
          <w:numId w:val="29"/>
        </w:numPr>
        <w:spacing w:line="256" w:lineRule="auto"/>
        <w:rPr>
          <w:rFonts w:ascii="Abadi" w:eastAsia="Aptos" w:hAnsi="Abadi" w:cs="Times New Roman"/>
          <w:sz w:val="28"/>
          <w:szCs w:val="28"/>
        </w:rPr>
      </w:pPr>
      <w:r w:rsidRPr="003B70BD">
        <w:rPr>
          <w:rFonts w:ascii="Abadi" w:eastAsia="Aptos" w:hAnsi="Abadi" w:cs="Times New Roman"/>
          <w:b/>
          <w:bCs/>
          <w:sz w:val="28"/>
          <w:szCs w:val="28"/>
        </w:rPr>
        <w:t>Case Studies and Comparative Analysis</w:t>
      </w:r>
      <w:r w:rsidRPr="003B70BD">
        <w:rPr>
          <w:rFonts w:ascii="Abadi" w:eastAsia="Aptos" w:hAnsi="Abadi" w:cs="Times New Roman"/>
          <w:sz w:val="28"/>
          <w:szCs w:val="28"/>
        </w:rPr>
        <w:t>: Examining other post-occupation regions, such as Rwanda and Bosnia, reveals that a dual approach, integrating both R&amp;D and employment training, has been successful in fostering economic recovery and sustainable development. These examples can provide valuable insights for Gaza’s universities.</w:t>
      </w:r>
    </w:p>
    <w:p w14:paraId="481DA2E7" w14:textId="77777777" w:rsidR="003B70BD" w:rsidRPr="003B70BD" w:rsidRDefault="003B70BD" w:rsidP="003B70BD">
      <w:pPr>
        <w:numPr>
          <w:ilvl w:val="0"/>
          <w:numId w:val="29"/>
        </w:numPr>
        <w:spacing w:line="256" w:lineRule="auto"/>
        <w:rPr>
          <w:rFonts w:ascii="Abadi" w:eastAsia="Aptos" w:hAnsi="Abadi" w:cs="Times New Roman"/>
          <w:sz w:val="28"/>
          <w:szCs w:val="28"/>
        </w:rPr>
      </w:pPr>
      <w:r w:rsidRPr="003B70BD">
        <w:rPr>
          <w:rFonts w:ascii="Abadi" w:eastAsia="Aptos" w:hAnsi="Abadi" w:cs="Times New Roman"/>
          <w:b/>
          <w:bCs/>
          <w:sz w:val="28"/>
          <w:szCs w:val="28"/>
        </w:rPr>
        <w:t>Stakeholder Perspectives</w:t>
      </w:r>
      <w:r w:rsidRPr="003B70BD">
        <w:rPr>
          <w:rFonts w:ascii="Abadi" w:eastAsia="Aptos" w:hAnsi="Abadi" w:cs="Times New Roman"/>
          <w:sz w:val="28"/>
          <w:szCs w:val="28"/>
        </w:rPr>
        <w:t>: Engaging with various stakeholders, including government bodies, educational institutions, local industries, and international partners, is crucial in shaping an educational strategy that meets Gaza’s unique needs. Their input can guide the prioritization and integration of R&amp;D and employment training.</w:t>
      </w:r>
    </w:p>
    <w:p w14:paraId="33FF4C37" w14:textId="77777777" w:rsidR="003B70BD" w:rsidRPr="003B70BD" w:rsidRDefault="003B70BD" w:rsidP="003B70BD">
      <w:pPr>
        <w:numPr>
          <w:ilvl w:val="0"/>
          <w:numId w:val="29"/>
        </w:numPr>
        <w:spacing w:line="256" w:lineRule="auto"/>
        <w:rPr>
          <w:rFonts w:ascii="Abadi" w:eastAsia="Aptos" w:hAnsi="Abadi" w:cs="Times New Roman"/>
          <w:sz w:val="28"/>
          <w:szCs w:val="28"/>
        </w:rPr>
      </w:pPr>
      <w:r w:rsidRPr="003B70BD">
        <w:rPr>
          <w:rFonts w:ascii="Abadi" w:eastAsia="Aptos" w:hAnsi="Abadi" w:cs="Times New Roman"/>
          <w:b/>
          <w:bCs/>
          <w:sz w:val="28"/>
          <w:szCs w:val="28"/>
        </w:rPr>
        <w:t>Strategic Recommendations</w:t>
      </w:r>
      <w:r w:rsidRPr="003B70BD">
        <w:rPr>
          <w:rFonts w:ascii="Abadi" w:eastAsia="Aptos" w:hAnsi="Abadi" w:cs="Times New Roman"/>
          <w:sz w:val="28"/>
          <w:szCs w:val="28"/>
        </w:rPr>
        <w:t xml:space="preserve">: Developing a strategic plan that incorporates both R&amp;D and employment training can ensure that Gaza’s universities contribute to immediate economic recovery while also laying the groundwork for long-term innovation and </w:t>
      </w:r>
      <w:r w:rsidRPr="003B70BD">
        <w:rPr>
          <w:rFonts w:ascii="Abadi" w:eastAsia="Aptos" w:hAnsi="Abadi" w:cs="Times New Roman"/>
          <w:sz w:val="28"/>
          <w:szCs w:val="28"/>
        </w:rPr>
        <w:lastRenderedPageBreak/>
        <w:t>development. This plan should include targeted investments, capacity-building initiatives, and international collaborations.</w:t>
      </w:r>
    </w:p>
    <w:p w14:paraId="641B9AB7" w14:textId="77777777" w:rsidR="003B70BD" w:rsidRPr="003B70BD" w:rsidRDefault="003B70BD" w:rsidP="003B70BD">
      <w:pPr>
        <w:spacing w:line="256" w:lineRule="auto"/>
        <w:rPr>
          <w:rFonts w:ascii="Abadi" w:eastAsia="Aptos" w:hAnsi="Abadi" w:cs="Times New Roman"/>
          <w:sz w:val="28"/>
          <w:szCs w:val="28"/>
        </w:rPr>
      </w:pPr>
    </w:p>
    <w:p w14:paraId="120B5C4A" w14:textId="77777777" w:rsidR="003B70BD" w:rsidRPr="003B70BD" w:rsidRDefault="003B70BD" w:rsidP="003B70BD">
      <w:pPr>
        <w:spacing w:line="256" w:lineRule="auto"/>
        <w:rPr>
          <w:rFonts w:ascii="Abadi" w:eastAsia="Aptos" w:hAnsi="Abadi" w:cs="Times New Roman"/>
          <w:b/>
          <w:bCs/>
          <w:sz w:val="28"/>
          <w:szCs w:val="28"/>
        </w:rPr>
      </w:pPr>
      <w:r w:rsidRPr="003B70BD">
        <w:rPr>
          <w:rFonts w:ascii="Abadi" w:eastAsia="Aptos" w:hAnsi="Abadi" w:cs="Times New Roman"/>
          <w:b/>
          <w:bCs/>
          <w:sz w:val="28"/>
          <w:szCs w:val="28"/>
        </w:rPr>
        <w:t>Advocate A Presentation: In Support of Research and Development</w:t>
      </w:r>
    </w:p>
    <w:p w14:paraId="58E03562" w14:textId="77777777" w:rsidR="003B70BD" w:rsidRPr="003B70BD" w:rsidRDefault="003B70BD" w:rsidP="003B70BD">
      <w:pPr>
        <w:spacing w:line="256" w:lineRule="auto"/>
        <w:rPr>
          <w:rFonts w:ascii="Abadi" w:eastAsia="Aptos" w:hAnsi="Abadi" w:cs="Times New Roman"/>
          <w:sz w:val="28"/>
          <w:szCs w:val="28"/>
        </w:rPr>
      </w:pPr>
      <w:r w:rsidRPr="003B70BD">
        <w:rPr>
          <w:rFonts w:ascii="Abadi" w:eastAsia="Aptos" w:hAnsi="Abadi" w:cs="Times New Roman"/>
          <w:sz w:val="28"/>
          <w:szCs w:val="28"/>
        </w:rPr>
        <w:t>Investing in Research and Development (R&amp;D) is crucial for the long-term growth and resilience of Gaza’s universities and its broader socio-economic context. Here are five detailed and research-backed points supporting this view:</w:t>
      </w:r>
    </w:p>
    <w:p w14:paraId="2C6CDAC7" w14:textId="77777777" w:rsidR="003B70BD" w:rsidRPr="003B70BD" w:rsidRDefault="003B70BD" w:rsidP="003B70BD">
      <w:pPr>
        <w:numPr>
          <w:ilvl w:val="0"/>
          <w:numId w:val="30"/>
        </w:numPr>
        <w:spacing w:line="256" w:lineRule="auto"/>
        <w:rPr>
          <w:rFonts w:ascii="Abadi" w:eastAsia="Aptos" w:hAnsi="Abadi" w:cs="Times New Roman"/>
          <w:sz w:val="28"/>
          <w:szCs w:val="28"/>
        </w:rPr>
      </w:pPr>
      <w:r w:rsidRPr="003B70BD">
        <w:rPr>
          <w:rFonts w:ascii="Abadi" w:eastAsia="Aptos" w:hAnsi="Abadi" w:cs="Times New Roman"/>
          <w:b/>
          <w:bCs/>
          <w:sz w:val="28"/>
          <w:szCs w:val="28"/>
        </w:rPr>
        <w:t>Fostering Innovation and Technological Advancement</w:t>
      </w:r>
      <w:r w:rsidRPr="003B70BD">
        <w:rPr>
          <w:rFonts w:ascii="Abadi" w:eastAsia="Aptos" w:hAnsi="Abadi" w:cs="Times New Roman"/>
          <w:sz w:val="28"/>
          <w:szCs w:val="28"/>
        </w:rPr>
        <w:t>: R&amp;D is the backbone of innovation, leading to technological advancements that can address Gaza's unique challenges. For example, research in renewable energy can help overcome the region’s chronic power shortages, while advancements in agricultural technology can improve food security. A report by the World Bank emphasizes that innovation driven by R&amp;D is essential for sustainable development and can significantly improve living conditions.</w:t>
      </w:r>
    </w:p>
    <w:p w14:paraId="6711C687" w14:textId="77777777" w:rsidR="003B70BD" w:rsidRPr="003B70BD" w:rsidRDefault="003B70BD" w:rsidP="003B70BD">
      <w:pPr>
        <w:numPr>
          <w:ilvl w:val="0"/>
          <w:numId w:val="30"/>
        </w:numPr>
        <w:spacing w:line="256" w:lineRule="auto"/>
        <w:rPr>
          <w:rFonts w:ascii="Abadi" w:eastAsia="Aptos" w:hAnsi="Abadi" w:cs="Times New Roman"/>
          <w:sz w:val="28"/>
          <w:szCs w:val="28"/>
        </w:rPr>
      </w:pPr>
      <w:r w:rsidRPr="003B70BD">
        <w:rPr>
          <w:rFonts w:ascii="Abadi" w:eastAsia="Aptos" w:hAnsi="Abadi" w:cs="Times New Roman"/>
          <w:b/>
          <w:bCs/>
          <w:sz w:val="28"/>
          <w:szCs w:val="28"/>
        </w:rPr>
        <w:t>Attracting International Collaborations and Funding</w:t>
      </w:r>
      <w:r w:rsidRPr="003B70BD">
        <w:rPr>
          <w:rFonts w:ascii="Abadi" w:eastAsia="Aptos" w:hAnsi="Abadi" w:cs="Times New Roman"/>
          <w:sz w:val="28"/>
          <w:szCs w:val="28"/>
        </w:rPr>
        <w:t>: Prioritizing R&amp;D can attract international partnerships and funding, enhancing the global reputation of Gaza’s universities. Collaborations with international research institutions can provide access to advanced resources, expertise, and technologies, fostering a robust academic environment. According to UNESCO, regions that emphasize R&amp;D often benefit from increased international cooperation and investment, which are vital for academic and economic growth.</w:t>
      </w:r>
    </w:p>
    <w:p w14:paraId="2FFA18C3" w14:textId="77777777" w:rsidR="003B70BD" w:rsidRPr="003B70BD" w:rsidRDefault="003B70BD" w:rsidP="003B70BD">
      <w:pPr>
        <w:numPr>
          <w:ilvl w:val="0"/>
          <w:numId w:val="30"/>
        </w:numPr>
        <w:spacing w:line="256" w:lineRule="auto"/>
        <w:rPr>
          <w:rFonts w:ascii="Abadi" w:eastAsia="Aptos" w:hAnsi="Abadi" w:cs="Times New Roman"/>
          <w:sz w:val="28"/>
          <w:szCs w:val="28"/>
        </w:rPr>
      </w:pPr>
      <w:r w:rsidRPr="003B70BD">
        <w:rPr>
          <w:rFonts w:ascii="Abadi" w:eastAsia="Aptos" w:hAnsi="Abadi" w:cs="Times New Roman"/>
          <w:b/>
          <w:bCs/>
          <w:sz w:val="28"/>
          <w:szCs w:val="28"/>
        </w:rPr>
        <w:t>Developing Long-Term Solutions to Local Problems</w:t>
      </w:r>
      <w:r w:rsidRPr="003B70BD">
        <w:rPr>
          <w:rFonts w:ascii="Abadi" w:eastAsia="Aptos" w:hAnsi="Abadi" w:cs="Times New Roman"/>
          <w:sz w:val="28"/>
          <w:szCs w:val="28"/>
        </w:rPr>
        <w:t>: R&amp;D allows for the development of long-term, sustainable solutions tailored to Gaza’s specific needs. For instance, research in public health can lead to improved healthcare systems, addressing the ongoing medical challenges exacerbated by Israel's war in Gaza. The Journal of Health Research highlights that localized R&amp;D initiatives are more effective in creating relevant and sustainable health solutions.</w:t>
      </w:r>
    </w:p>
    <w:p w14:paraId="2894C403" w14:textId="77777777" w:rsidR="003B70BD" w:rsidRPr="003B70BD" w:rsidRDefault="003B70BD" w:rsidP="003B70BD">
      <w:pPr>
        <w:numPr>
          <w:ilvl w:val="0"/>
          <w:numId w:val="30"/>
        </w:numPr>
        <w:spacing w:line="256" w:lineRule="auto"/>
        <w:rPr>
          <w:rFonts w:ascii="Abadi" w:eastAsia="Aptos" w:hAnsi="Abadi" w:cs="Times New Roman"/>
          <w:sz w:val="28"/>
          <w:szCs w:val="28"/>
        </w:rPr>
      </w:pPr>
      <w:r w:rsidRPr="003B70BD">
        <w:rPr>
          <w:rFonts w:ascii="Abadi" w:eastAsia="Aptos" w:hAnsi="Abadi" w:cs="Times New Roman"/>
          <w:b/>
          <w:bCs/>
          <w:sz w:val="28"/>
          <w:szCs w:val="28"/>
        </w:rPr>
        <w:t>Building a Knowledge-Based Economy</w:t>
      </w:r>
      <w:r w:rsidRPr="003B70BD">
        <w:rPr>
          <w:rFonts w:ascii="Abadi" w:eastAsia="Aptos" w:hAnsi="Abadi" w:cs="Times New Roman"/>
          <w:sz w:val="28"/>
          <w:szCs w:val="28"/>
        </w:rPr>
        <w:t xml:space="preserve">: A strong focus on R&amp;D can transition Gaza from a reliance on traditional industries to a knowledge-based economy. This shift can create high-skilled jobs, reduce unemployment, and stimulate economic growth. Research from the International Journal of Economic Development suggests that economies driven by knowledge and innovation tend to be more </w:t>
      </w:r>
      <w:r w:rsidRPr="003B70BD">
        <w:rPr>
          <w:rFonts w:ascii="Abadi" w:eastAsia="Aptos" w:hAnsi="Abadi" w:cs="Times New Roman"/>
          <w:sz w:val="28"/>
          <w:szCs w:val="28"/>
        </w:rPr>
        <w:lastRenderedPageBreak/>
        <w:t>resilient and adaptable to global changes, providing a stable foundation for future growth.</w:t>
      </w:r>
    </w:p>
    <w:p w14:paraId="6E307264" w14:textId="77777777" w:rsidR="003B70BD" w:rsidRPr="003B70BD" w:rsidRDefault="003B70BD" w:rsidP="003B70BD">
      <w:pPr>
        <w:numPr>
          <w:ilvl w:val="0"/>
          <w:numId w:val="30"/>
        </w:numPr>
        <w:spacing w:line="256" w:lineRule="auto"/>
        <w:rPr>
          <w:rFonts w:ascii="Abadi" w:eastAsia="Aptos" w:hAnsi="Abadi" w:cs="Times New Roman"/>
          <w:sz w:val="28"/>
          <w:szCs w:val="28"/>
        </w:rPr>
      </w:pPr>
      <w:r w:rsidRPr="003B70BD">
        <w:rPr>
          <w:rFonts w:ascii="Abadi" w:eastAsia="Aptos" w:hAnsi="Abadi" w:cs="Times New Roman"/>
          <w:b/>
          <w:bCs/>
          <w:sz w:val="28"/>
          <w:szCs w:val="28"/>
        </w:rPr>
        <w:t>Enhancing Academic and Research Capabilities</w:t>
      </w:r>
      <w:r w:rsidRPr="003B70BD">
        <w:rPr>
          <w:rFonts w:ascii="Abadi" w:eastAsia="Aptos" w:hAnsi="Abadi" w:cs="Times New Roman"/>
          <w:sz w:val="28"/>
          <w:szCs w:val="28"/>
        </w:rPr>
        <w:t>: Investing in R&amp;D strengthens the academic and research capabilities of universities, leading to higher educational standards and better learning outcomes for students. This investment can help retain and attract top talent, both locally and internationally, ensuring that Gaza’s educational institutions remain competitive and progressive. The Higher Education Policy Institute notes that strong R&amp;D programs are critical for maintaining academic excellence and fostering a culture of continuous improvement.</w:t>
      </w:r>
    </w:p>
    <w:p w14:paraId="53A15539" w14:textId="77777777" w:rsidR="003B70BD" w:rsidRPr="003B70BD" w:rsidRDefault="003B70BD" w:rsidP="003B70BD">
      <w:pPr>
        <w:spacing w:line="256" w:lineRule="auto"/>
        <w:rPr>
          <w:rFonts w:ascii="Abadi" w:eastAsia="Aptos" w:hAnsi="Abadi" w:cs="Times New Roman"/>
          <w:sz w:val="28"/>
          <w:szCs w:val="28"/>
        </w:rPr>
      </w:pPr>
    </w:p>
    <w:p w14:paraId="6F4F3EF3" w14:textId="77777777" w:rsidR="003B70BD" w:rsidRPr="003B70BD" w:rsidRDefault="003B70BD" w:rsidP="003B70BD">
      <w:pPr>
        <w:spacing w:line="256" w:lineRule="auto"/>
        <w:rPr>
          <w:rFonts w:ascii="Abadi" w:eastAsia="Aptos" w:hAnsi="Abadi" w:cs="Times New Roman"/>
          <w:b/>
          <w:bCs/>
          <w:sz w:val="28"/>
          <w:szCs w:val="28"/>
        </w:rPr>
      </w:pPr>
      <w:r w:rsidRPr="003B70BD">
        <w:rPr>
          <w:rFonts w:ascii="Abadi" w:eastAsia="Aptos" w:hAnsi="Abadi" w:cs="Times New Roman"/>
          <w:b/>
          <w:bCs/>
          <w:sz w:val="28"/>
          <w:szCs w:val="28"/>
        </w:rPr>
        <w:t>Advocate B Presentation: In Support of Employment Training</w:t>
      </w:r>
    </w:p>
    <w:p w14:paraId="4E2EE8E9" w14:textId="77777777" w:rsidR="003B70BD" w:rsidRPr="003B70BD" w:rsidRDefault="003B70BD" w:rsidP="003B70BD">
      <w:pPr>
        <w:spacing w:line="256" w:lineRule="auto"/>
        <w:rPr>
          <w:rFonts w:ascii="Abadi" w:eastAsia="Aptos" w:hAnsi="Abadi" w:cs="Times New Roman"/>
          <w:sz w:val="28"/>
          <w:szCs w:val="28"/>
        </w:rPr>
      </w:pPr>
      <w:r w:rsidRPr="003B70BD">
        <w:rPr>
          <w:rFonts w:ascii="Abadi" w:eastAsia="Aptos" w:hAnsi="Abadi" w:cs="Times New Roman"/>
          <w:sz w:val="28"/>
          <w:szCs w:val="28"/>
        </w:rPr>
        <w:t>Prioritizing employment training is essential for addressing the immediate economic needs of Gaza, particularly in the aftermath of Israel's war in Gaza. Here are five detailed and research-backed points supporting this view:</w:t>
      </w:r>
    </w:p>
    <w:p w14:paraId="78AA1D90" w14:textId="77777777" w:rsidR="003B70BD" w:rsidRPr="003B70BD" w:rsidRDefault="003B70BD" w:rsidP="003B70BD">
      <w:pPr>
        <w:numPr>
          <w:ilvl w:val="0"/>
          <w:numId w:val="31"/>
        </w:numPr>
        <w:spacing w:line="256" w:lineRule="auto"/>
        <w:rPr>
          <w:rFonts w:ascii="Abadi" w:eastAsia="Aptos" w:hAnsi="Abadi" w:cs="Times New Roman"/>
          <w:sz w:val="28"/>
          <w:szCs w:val="28"/>
        </w:rPr>
      </w:pPr>
      <w:r w:rsidRPr="003B70BD">
        <w:rPr>
          <w:rFonts w:ascii="Abadi" w:eastAsia="Aptos" w:hAnsi="Abadi" w:cs="Times New Roman"/>
          <w:b/>
          <w:bCs/>
          <w:sz w:val="28"/>
          <w:szCs w:val="28"/>
        </w:rPr>
        <w:t>Immediate Job Creation and Economic Recovery</w:t>
      </w:r>
      <w:r w:rsidRPr="003B70BD">
        <w:rPr>
          <w:rFonts w:ascii="Abadi" w:eastAsia="Aptos" w:hAnsi="Abadi" w:cs="Times New Roman"/>
          <w:sz w:val="28"/>
          <w:szCs w:val="28"/>
        </w:rPr>
        <w:t>: Employment training programs provide students with practical skills that are directly applicable in the job market, leading to immediate job creation and economic recovery. Given the high unemployment rates in Gaza, these programs are crucial for quickly integrating graduates into the workforce. Research by the International Labour Organization (ILO) emphasizes the effectiveness of vocational training in rapidly reducing unemployment and stimulating local economies in post-war contexts.</w:t>
      </w:r>
    </w:p>
    <w:p w14:paraId="313D253C" w14:textId="77777777" w:rsidR="003B70BD" w:rsidRPr="003B70BD" w:rsidRDefault="003B70BD" w:rsidP="003B70BD">
      <w:pPr>
        <w:numPr>
          <w:ilvl w:val="0"/>
          <w:numId w:val="31"/>
        </w:numPr>
        <w:spacing w:line="256" w:lineRule="auto"/>
        <w:rPr>
          <w:rFonts w:ascii="Abadi" w:eastAsia="Aptos" w:hAnsi="Abadi" w:cs="Times New Roman"/>
          <w:sz w:val="28"/>
          <w:szCs w:val="28"/>
        </w:rPr>
      </w:pPr>
      <w:r w:rsidRPr="003B70BD">
        <w:rPr>
          <w:rFonts w:ascii="Abadi" w:eastAsia="Aptos" w:hAnsi="Abadi" w:cs="Times New Roman"/>
          <w:b/>
          <w:bCs/>
          <w:sz w:val="28"/>
          <w:szCs w:val="28"/>
        </w:rPr>
        <w:t>Addressing Skill Gaps and Labor Market Needs</w:t>
      </w:r>
      <w:r w:rsidRPr="003B70BD">
        <w:rPr>
          <w:rFonts w:ascii="Abadi" w:eastAsia="Aptos" w:hAnsi="Abadi" w:cs="Times New Roman"/>
          <w:sz w:val="28"/>
          <w:szCs w:val="28"/>
        </w:rPr>
        <w:t xml:space="preserve">: The current economic situation in Gaza requires a workforce equipped with specific skills that meet the immediate demands of local industries. Employment training programs can be tailored to address these skill gaps, ensuring that graduates are </w:t>
      </w:r>
      <w:proofErr w:type="gramStart"/>
      <w:r w:rsidRPr="003B70BD">
        <w:rPr>
          <w:rFonts w:ascii="Abadi" w:eastAsia="Aptos" w:hAnsi="Abadi" w:cs="Times New Roman"/>
          <w:sz w:val="28"/>
          <w:szCs w:val="28"/>
        </w:rPr>
        <w:t>job-ready</w:t>
      </w:r>
      <w:proofErr w:type="gramEnd"/>
      <w:r w:rsidRPr="003B70BD">
        <w:rPr>
          <w:rFonts w:ascii="Abadi" w:eastAsia="Aptos" w:hAnsi="Abadi" w:cs="Times New Roman"/>
          <w:sz w:val="28"/>
          <w:szCs w:val="28"/>
        </w:rPr>
        <w:t xml:space="preserve">. A study by the World Bank highlights the importance of aligning educational programs with </w:t>
      </w:r>
      <w:proofErr w:type="spellStart"/>
      <w:r w:rsidRPr="003B70BD">
        <w:rPr>
          <w:rFonts w:ascii="Abadi" w:eastAsia="Aptos" w:hAnsi="Abadi" w:cs="Times New Roman"/>
          <w:sz w:val="28"/>
          <w:szCs w:val="28"/>
        </w:rPr>
        <w:t>labor</w:t>
      </w:r>
      <w:proofErr w:type="spellEnd"/>
      <w:r w:rsidRPr="003B70BD">
        <w:rPr>
          <w:rFonts w:ascii="Abadi" w:eastAsia="Aptos" w:hAnsi="Abadi" w:cs="Times New Roman"/>
          <w:sz w:val="28"/>
          <w:szCs w:val="28"/>
        </w:rPr>
        <w:t xml:space="preserve"> market needs to enhance employability and support economic development.</w:t>
      </w:r>
    </w:p>
    <w:p w14:paraId="11CA3575" w14:textId="77777777" w:rsidR="003B70BD" w:rsidRPr="003B70BD" w:rsidRDefault="003B70BD" w:rsidP="003B70BD">
      <w:pPr>
        <w:numPr>
          <w:ilvl w:val="0"/>
          <w:numId w:val="31"/>
        </w:numPr>
        <w:spacing w:line="256" w:lineRule="auto"/>
        <w:rPr>
          <w:rFonts w:ascii="Abadi" w:eastAsia="Aptos" w:hAnsi="Abadi" w:cs="Times New Roman"/>
          <w:sz w:val="28"/>
          <w:szCs w:val="28"/>
        </w:rPr>
      </w:pPr>
      <w:r w:rsidRPr="003B70BD">
        <w:rPr>
          <w:rFonts w:ascii="Abadi" w:eastAsia="Aptos" w:hAnsi="Abadi" w:cs="Times New Roman"/>
          <w:b/>
          <w:bCs/>
          <w:sz w:val="28"/>
          <w:szCs w:val="28"/>
        </w:rPr>
        <w:t>Supporting Vulnerable Populations</w:t>
      </w:r>
      <w:r w:rsidRPr="003B70BD">
        <w:rPr>
          <w:rFonts w:ascii="Abadi" w:eastAsia="Aptos" w:hAnsi="Abadi" w:cs="Times New Roman"/>
          <w:sz w:val="28"/>
          <w:szCs w:val="28"/>
        </w:rPr>
        <w:t xml:space="preserve">: Employment training is particularly beneficial for vulnerable populations, including young people and those affected by military actions. These programs offer a </w:t>
      </w:r>
      <w:r w:rsidRPr="003B70BD">
        <w:rPr>
          <w:rFonts w:ascii="Abadi" w:eastAsia="Aptos" w:hAnsi="Abadi" w:cs="Times New Roman"/>
          <w:sz w:val="28"/>
          <w:szCs w:val="28"/>
        </w:rPr>
        <w:lastRenderedPageBreak/>
        <w:t>pathway to gainful employment and financial independence, which is essential for social stability and resilience. The United Nations Development Programme (UNDP) underscores the role of vocational training in empowering marginalized groups and fostering inclusive growth in post-war regions.</w:t>
      </w:r>
    </w:p>
    <w:p w14:paraId="157187FF" w14:textId="77777777" w:rsidR="003B70BD" w:rsidRPr="003B70BD" w:rsidRDefault="003B70BD" w:rsidP="003B70BD">
      <w:pPr>
        <w:numPr>
          <w:ilvl w:val="0"/>
          <w:numId w:val="31"/>
        </w:numPr>
        <w:spacing w:line="256" w:lineRule="auto"/>
        <w:rPr>
          <w:rFonts w:ascii="Abadi" w:eastAsia="Aptos" w:hAnsi="Abadi" w:cs="Times New Roman"/>
          <w:sz w:val="28"/>
          <w:szCs w:val="28"/>
        </w:rPr>
      </w:pPr>
      <w:r w:rsidRPr="003B70BD">
        <w:rPr>
          <w:rFonts w:ascii="Abadi" w:eastAsia="Aptos" w:hAnsi="Abadi" w:cs="Times New Roman"/>
          <w:b/>
          <w:bCs/>
          <w:sz w:val="28"/>
          <w:szCs w:val="28"/>
        </w:rPr>
        <w:t>Enhancing Practical and Technical Skills</w:t>
      </w:r>
      <w:r w:rsidRPr="003B70BD">
        <w:rPr>
          <w:rFonts w:ascii="Abadi" w:eastAsia="Aptos" w:hAnsi="Abadi" w:cs="Times New Roman"/>
          <w:sz w:val="28"/>
          <w:szCs w:val="28"/>
        </w:rPr>
        <w:t>: Employment training focuses on developing practical and technical skills that are in high demand. This hands-on approach to education ensures that students gain the competencies needed for specific occupations, increasing their chances of employment. According to the Technical and Vocational Education and Training (TVET) Council, practical skills training is a key factor in enhancing workforce productivity and economic competitiveness.</w:t>
      </w:r>
    </w:p>
    <w:p w14:paraId="3F7B07D8" w14:textId="77777777" w:rsidR="003B70BD" w:rsidRPr="003B70BD" w:rsidRDefault="003B70BD" w:rsidP="003B70BD">
      <w:pPr>
        <w:numPr>
          <w:ilvl w:val="0"/>
          <w:numId w:val="31"/>
        </w:numPr>
        <w:spacing w:line="256" w:lineRule="auto"/>
        <w:rPr>
          <w:rFonts w:ascii="Abadi" w:eastAsia="Aptos" w:hAnsi="Abadi" w:cs="Times New Roman"/>
          <w:sz w:val="28"/>
          <w:szCs w:val="28"/>
        </w:rPr>
      </w:pPr>
      <w:r w:rsidRPr="003B70BD">
        <w:rPr>
          <w:rFonts w:ascii="Abadi" w:eastAsia="Aptos" w:hAnsi="Abadi" w:cs="Times New Roman"/>
          <w:b/>
          <w:bCs/>
          <w:sz w:val="28"/>
          <w:szCs w:val="28"/>
        </w:rPr>
        <w:t>Short-Term Economic Impact</w:t>
      </w:r>
      <w:r w:rsidRPr="003B70BD">
        <w:rPr>
          <w:rFonts w:ascii="Abadi" w:eastAsia="Aptos" w:hAnsi="Abadi" w:cs="Times New Roman"/>
          <w:sz w:val="28"/>
          <w:szCs w:val="28"/>
        </w:rPr>
        <w:t>: While R&amp;D offers long-term benefits, employment training has a more immediate economic impact. By quickly addressing unemployment and providing the workforce with necessary skills, these programs contribute to short-term economic stabilization. A report by the European Training Foundation (ETF) shows that vocational and employment training programs are effective in achieving quick economic gains and improving living standards in regions recovering from occupation and military actions.</w:t>
      </w:r>
    </w:p>
    <w:p w14:paraId="6DE8CAE0" w14:textId="77777777" w:rsidR="003B70BD" w:rsidRPr="003B70BD" w:rsidRDefault="003B70BD" w:rsidP="003B70BD">
      <w:pPr>
        <w:spacing w:line="256" w:lineRule="auto"/>
        <w:rPr>
          <w:rFonts w:ascii="Abadi" w:eastAsia="Aptos" w:hAnsi="Abadi" w:cs="Times New Roman"/>
          <w:sz w:val="28"/>
          <w:szCs w:val="28"/>
        </w:rPr>
      </w:pPr>
    </w:p>
    <w:p w14:paraId="16BBD250" w14:textId="77777777" w:rsidR="003B70BD" w:rsidRPr="003B70BD" w:rsidRDefault="003B70BD" w:rsidP="003B70BD">
      <w:pPr>
        <w:spacing w:line="256" w:lineRule="auto"/>
        <w:rPr>
          <w:rFonts w:ascii="Abadi" w:eastAsia="Aptos" w:hAnsi="Abadi" w:cs="Times New Roman"/>
          <w:b/>
          <w:bCs/>
          <w:sz w:val="28"/>
          <w:szCs w:val="28"/>
        </w:rPr>
      </w:pPr>
      <w:r w:rsidRPr="003B70BD">
        <w:rPr>
          <w:rFonts w:ascii="Abadi" w:eastAsia="Aptos" w:hAnsi="Abadi" w:cs="Times New Roman"/>
          <w:b/>
          <w:bCs/>
          <w:sz w:val="28"/>
          <w:szCs w:val="28"/>
        </w:rPr>
        <w:t>Advocate A Responding to Advocate B</w:t>
      </w:r>
    </w:p>
    <w:p w14:paraId="3E7FFFEF" w14:textId="77777777" w:rsidR="003B70BD" w:rsidRPr="003B70BD" w:rsidRDefault="003B70BD" w:rsidP="003B70BD">
      <w:pPr>
        <w:spacing w:line="256" w:lineRule="auto"/>
        <w:rPr>
          <w:rFonts w:ascii="Abadi" w:eastAsia="Aptos" w:hAnsi="Abadi" w:cs="Times New Roman"/>
          <w:sz w:val="28"/>
          <w:szCs w:val="28"/>
        </w:rPr>
      </w:pPr>
      <w:r w:rsidRPr="003B70BD">
        <w:rPr>
          <w:rFonts w:ascii="Abadi" w:eastAsia="Aptos" w:hAnsi="Abadi" w:cs="Times New Roman"/>
          <w:sz w:val="28"/>
          <w:szCs w:val="28"/>
        </w:rPr>
        <w:t xml:space="preserve">While the immediate economic benefits of employment training are crucial for addressing Gaza’s high unemployment rates and skill gaps, prioritizing R&amp;D is essential for long-term sustainability and growth. R&amp;D fosters innovation and technological advancements that can solve persistent local problems, attract international partnerships, and transition Gaza to a knowledge-based economy. Investing in R&amp;D can provide sustainable solutions in healthcare, energy, and agriculture, ensuring that Gaza’s recovery is not only immediate but also resilient and </w:t>
      </w:r>
      <w:proofErr w:type="gramStart"/>
      <w:r w:rsidRPr="003B70BD">
        <w:rPr>
          <w:rFonts w:ascii="Abadi" w:eastAsia="Aptos" w:hAnsi="Abadi" w:cs="Times New Roman"/>
          <w:sz w:val="28"/>
          <w:szCs w:val="28"/>
        </w:rPr>
        <w:t>future-oriented</w:t>
      </w:r>
      <w:proofErr w:type="gramEnd"/>
      <w:r w:rsidRPr="003B70BD">
        <w:rPr>
          <w:rFonts w:ascii="Abadi" w:eastAsia="Aptos" w:hAnsi="Abadi" w:cs="Times New Roman"/>
          <w:sz w:val="28"/>
          <w:szCs w:val="28"/>
        </w:rPr>
        <w:t>. Thus, while employment training addresses urgent needs, R&amp;D builds the foundation for a stable and prosperous future.</w:t>
      </w:r>
    </w:p>
    <w:p w14:paraId="4F8A487E" w14:textId="77777777" w:rsidR="003B70BD" w:rsidRPr="003B70BD" w:rsidRDefault="003B70BD" w:rsidP="003B70BD">
      <w:pPr>
        <w:spacing w:line="256" w:lineRule="auto"/>
        <w:rPr>
          <w:rFonts w:ascii="Abadi" w:eastAsia="Aptos" w:hAnsi="Abadi" w:cs="Times New Roman"/>
          <w:sz w:val="28"/>
          <w:szCs w:val="28"/>
        </w:rPr>
      </w:pPr>
    </w:p>
    <w:p w14:paraId="070BED5B" w14:textId="77777777" w:rsidR="003B70BD" w:rsidRPr="003B70BD" w:rsidRDefault="003B70BD" w:rsidP="003B70BD">
      <w:pPr>
        <w:spacing w:line="256" w:lineRule="auto"/>
        <w:rPr>
          <w:rFonts w:ascii="Abadi" w:eastAsia="Aptos" w:hAnsi="Abadi" w:cs="Times New Roman"/>
          <w:b/>
          <w:bCs/>
          <w:sz w:val="28"/>
          <w:szCs w:val="28"/>
        </w:rPr>
      </w:pPr>
      <w:r w:rsidRPr="003B70BD">
        <w:rPr>
          <w:rFonts w:ascii="Abadi" w:eastAsia="Aptos" w:hAnsi="Abadi" w:cs="Times New Roman"/>
          <w:b/>
          <w:bCs/>
          <w:sz w:val="28"/>
          <w:szCs w:val="28"/>
        </w:rPr>
        <w:t>Advocate B Responding to Advocate A</w:t>
      </w:r>
    </w:p>
    <w:p w14:paraId="6F9D7EE4" w14:textId="77777777" w:rsidR="003B70BD" w:rsidRPr="003B70BD" w:rsidRDefault="003B70BD" w:rsidP="003B70BD">
      <w:pPr>
        <w:spacing w:line="256" w:lineRule="auto"/>
        <w:rPr>
          <w:rFonts w:ascii="Abadi" w:eastAsia="Aptos" w:hAnsi="Abadi" w:cs="Times New Roman"/>
          <w:sz w:val="28"/>
          <w:szCs w:val="28"/>
        </w:rPr>
      </w:pPr>
      <w:r w:rsidRPr="003B70BD">
        <w:rPr>
          <w:rFonts w:ascii="Abadi" w:eastAsia="Aptos" w:hAnsi="Abadi" w:cs="Times New Roman"/>
          <w:sz w:val="28"/>
          <w:szCs w:val="28"/>
        </w:rPr>
        <w:t xml:space="preserve">While R&amp;D is vital for long-term innovation and sustainable development, Gaza's current economic crisis necessitates an immediate focus on </w:t>
      </w:r>
      <w:r w:rsidRPr="003B70BD">
        <w:rPr>
          <w:rFonts w:ascii="Abadi" w:eastAsia="Aptos" w:hAnsi="Abadi" w:cs="Times New Roman"/>
          <w:sz w:val="28"/>
          <w:szCs w:val="28"/>
        </w:rPr>
        <w:lastRenderedPageBreak/>
        <w:t>employment training to provide quick job placement and economic stability. With high unemployment and urgent needs caused by Israel's war in Gaza, practical skills training directly addresses these issues by equipping individuals with the competencies needed for available jobs. Although R&amp;D will benefit Gaza in the future, prioritizing employment training now ensures that the population can achieve economic self-sufficiency and stability in the short term, which is crucial for immediate recovery and resilience.</w:t>
      </w:r>
    </w:p>
    <w:p w14:paraId="0819F1EF" w14:textId="77777777" w:rsidR="003B70BD" w:rsidRPr="003B70BD" w:rsidRDefault="003B70BD" w:rsidP="003B70BD">
      <w:pPr>
        <w:spacing w:line="256" w:lineRule="auto"/>
        <w:rPr>
          <w:rFonts w:ascii="Abadi" w:eastAsia="Aptos" w:hAnsi="Abadi" w:cs="Times New Roman"/>
          <w:sz w:val="28"/>
          <w:szCs w:val="28"/>
        </w:rPr>
      </w:pPr>
    </w:p>
    <w:p w14:paraId="66631019" w14:textId="77777777" w:rsidR="003B70BD" w:rsidRPr="003B70BD" w:rsidRDefault="003B70BD" w:rsidP="003B70BD">
      <w:pPr>
        <w:spacing w:line="256" w:lineRule="auto"/>
        <w:rPr>
          <w:rFonts w:ascii="Abadi" w:eastAsia="Aptos" w:hAnsi="Abadi" w:cs="Times New Roman"/>
          <w:b/>
          <w:bCs/>
          <w:sz w:val="28"/>
          <w:szCs w:val="28"/>
        </w:rPr>
      </w:pPr>
      <w:r w:rsidRPr="003B70BD">
        <w:rPr>
          <w:rFonts w:ascii="Abadi" w:eastAsia="Aptos" w:hAnsi="Abadi" w:cs="Times New Roman"/>
          <w:b/>
          <w:bCs/>
          <w:sz w:val="28"/>
          <w:szCs w:val="28"/>
        </w:rPr>
        <w:t>Moderator's Summary</w:t>
      </w:r>
    </w:p>
    <w:p w14:paraId="016D8AB8" w14:textId="77777777" w:rsidR="003B70BD" w:rsidRPr="003B70BD" w:rsidRDefault="003B70BD" w:rsidP="003B70BD">
      <w:pPr>
        <w:spacing w:line="256" w:lineRule="auto"/>
        <w:rPr>
          <w:rFonts w:ascii="Abadi" w:eastAsia="Aptos" w:hAnsi="Abadi" w:cs="Times New Roman"/>
          <w:sz w:val="28"/>
          <w:szCs w:val="28"/>
        </w:rPr>
      </w:pPr>
      <w:r w:rsidRPr="003B70BD">
        <w:rPr>
          <w:rFonts w:ascii="Abadi" w:eastAsia="Aptos" w:hAnsi="Abadi" w:cs="Times New Roman"/>
          <w:sz w:val="28"/>
          <w:szCs w:val="28"/>
        </w:rPr>
        <w:t xml:space="preserve">The debate on prioritizing Research and Development (R&amp;D) versus Employment Training for Gaza’s universities highlights the critical balance between long-term innovation and immediate economic needs. Advocate A emphasized the importance of R&amp;D for fostering innovation, attracting international collaborations, and developing sustainable solutions tailored to Gaza’s unique challenges. Investing in R&amp;D can transition Gaza to a knowledge-based economy, providing long-term benefits and resilience. </w:t>
      </w:r>
    </w:p>
    <w:p w14:paraId="626F5D14" w14:textId="77777777" w:rsidR="003B70BD" w:rsidRPr="003B70BD" w:rsidRDefault="003B70BD" w:rsidP="003B70BD">
      <w:pPr>
        <w:spacing w:line="256" w:lineRule="auto"/>
        <w:rPr>
          <w:rFonts w:ascii="Abadi" w:eastAsia="Aptos" w:hAnsi="Abadi" w:cs="Times New Roman"/>
          <w:sz w:val="28"/>
          <w:szCs w:val="28"/>
        </w:rPr>
      </w:pPr>
      <w:r w:rsidRPr="003B70BD">
        <w:rPr>
          <w:rFonts w:ascii="Abadi" w:eastAsia="Aptos" w:hAnsi="Abadi" w:cs="Times New Roman"/>
          <w:sz w:val="28"/>
          <w:szCs w:val="28"/>
        </w:rPr>
        <w:t>On the other hand, Advocate B stressed the necessity of employment training to address the immediate economic crisis caused by Israel's war in Gaza. Employment training programs equip students with practical skills for quick job placement, directly reducing unemployment and stabilizing the economy. Both perspectives underscore the need for a balanced approach that integrates R&amp;D for future growth and employment training for current economic recovery. This strategy ensures that Gaza’s universities can contribute to both short-term stability and long-term development, fostering a comprehensive and resilient educational framework.</w:t>
      </w:r>
    </w:p>
    <w:p w14:paraId="6552B6DC" w14:textId="77777777" w:rsidR="003B70BD" w:rsidRPr="003B70BD" w:rsidRDefault="003B70BD" w:rsidP="003B70BD">
      <w:pPr>
        <w:spacing w:line="256" w:lineRule="auto"/>
        <w:rPr>
          <w:rFonts w:ascii="Abadi" w:eastAsia="Aptos" w:hAnsi="Abadi" w:cs="Times New Roman"/>
          <w:b/>
          <w:bCs/>
          <w:sz w:val="28"/>
          <w:szCs w:val="28"/>
        </w:rPr>
      </w:pPr>
      <w:r w:rsidRPr="003B70BD">
        <w:rPr>
          <w:rFonts w:ascii="Abadi" w:eastAsia="Aptos" w:hAnsi="Abadi" w:cs="Times New Roman"/>
          <w:b/>
          <w:bCs/>
          <w:sz w:val="28"/>
          <w:szCs w:val="28"/>
        </w:rPr>
        <w:t>Reflective Questions for Further Consideration</w:t>
      </w:r>
    </w:p>
    <w:p w14:paraId="313DFF1F" w14:textId="77777777" w:rsidR="003B70BD" w:rsidRPr="003B70BD" w:rsidRDefault="003B70BD" w:rsidP="003B70BD">
      <w:pPr>
        <w:numPr>
          <w:ilvl w:val="0"/>
          <w:numId w:val="32"/>
        </w:numPr>
        <w:spacing w:line="256" w:lineRule="auto"/>
        <w:rPr>
          <w:rFonts w:ascii="Abadi" w:eastAsia="Aptos" w:hAnsi="Abadi" w:cs="Times New Roman"/>
          <w:sz w:val="28"/>
          <w:szCs w:val="28"/>
        </w:rPr>
      </w:pPr>
      <w:r w:rsidRPr="003B70BD">
        <w:rPr>
          <w:rFonts w:ascii="Abadi" w:eastAsia="Aptos" w:hAnsi="Abadi" w:cs="Times New Roman"/>
          <w:sz w:val="28"/>
          <w:szCs w:val="28"/>
        </w:rPr>
        <w:t>How can Gaza’s universities balance the need for immediate job training with the benefits of long-term research and development?</w:t>
      </w:r>
    </w:p>
    <w:p w14:paraId="32712300" w14:textId="77777777" w:rsidR="003B70BD" w:rsidRPr="003B70BD" w:rsidRDefault="003B70BD" w:rsidP="003B70BD">
      <w:pPr>
        <w:numPr>
          <w:ilvl w:val="0"/>
          <w:numId w:val="32"/>
        </w:numPr>
        <w:spacing w:line="256" w:lineRule="auto"/>
        <w:rPr>
          <w:rFonts w:ascii="Abadi" w:eastAsia="Aptos" w:hAnsi="Abadi" w:cs="Times New Roman"/>
          <w:sz w:val="28"/>
          <w:szCs w:val="28"/>
        </w:rPr>
      </w:pPr>
      <w:r w:rsidRPr="003B70BD">
        <w:rPr>
          <w:rFonts w:ascii="Abadi" w:eastAsia="Aptos" w:hAnsi="Abadi" w:cs="Times New Roman"/>
          <w:sz w:val="28"/>
          <w:szCs w:val="28"/>
        </w:rPr>
        <w:t>What strategies can be implemented to ensure that both R&amp;D and employment training are effectively integrated in Gaza’s educational system?</w:t>
      </w:r>
    </w:p>
    <w:p w14:paraId="39588F91" w14:textId="77777777" w:rsidR="003B70BD" w:rsidRPr="003B70BD" w:rsidRDefault="003B70BD" w:rsidP="003B70BD">
      <w:pPr>
        <w:numPr>
          <w:ilvl w:val="0"/>
          <w:numId w:val="32"/>
        </w:numPr>
        <w:spacing w:line="256" w:lineRule="auto"/>
        <w:rPr>
          <w:rFonts w:ascii="Abadi" w:eastAsia="Aptos" w:hAnsi="Abadi" w:cs="Times New Roman"/>
          <w:sz w:val="28"/>
          <w:szCs w:val="28"/>
        </w:rPr>
      </w:pPr>
      <w:r w:rsidRPr="003B70BD">
        <w:rPr>
          <w:rFonts w:ascii="Abadi" w:eastAsia="Aptos" w:hAnsi="Abadi" w:cs="Times New Roman"/>
          <w:sz w:val="28"/>
          <w:szCs w:val="28"/>
        </w:rPr>
        <w:t>How can international partnerships support both immediate employment needs and long-term innovation in Gaza?</w:t>
      </w:r>
    </w:p>
    <w:p w14:paraId="15887BFB" w14:textId="77777777" w:rsidR="003B70BD" w:rsidRPr="003B70BD" w:rsidRDefault="003B70BD" w:rsidP="003B70BD">
      <w:pPr>
        <w:spacing w:line="256" w:lineRule="auto"/>
        <w:rPr>
          <w:rFonts w:ascii="Abadi" w:eastAsia="Aptos" w:hAnsi="Abadi" w:cs="Times New Roman"/>
          <w:sz w:val="28"/>
          <w:szCs w:val="28"/>
        </w:rPr>
      </w:pPr>
      <w:r w:rsidRPr="003B70BD">
        <w:rPr>
          <w:rFonts w:ascii="Abadi" w:eastAsia="Aptos" w:hAnsi="Abadi" w:cs="Times New Roman"/>
          <w:kern w:val="0"/>
          <w:sz w:val="28"/>
          <w:szCs w:val="28"/>
          <w14:ligatures w14:val="none"/>
        </w:rPr>
        <w:br w:type="page"/>
      </w:r>
    </w:p>
    <w:p w14:paraId="3008F88B" w14:textId="77777777" w:rsidR="003B70BD" w:rsidRPr="003B70BD" w:rsidRDefault="003B70BD" w:rsidP="000A7DAB">
      <w:pPr>
        <w:pStyle w:val="Heading1"/>
        <w:pBdr>
          <w:bottom w:val="single" w:sz="4" w:space="1" w:color="auto"/>
        </w:pBdr>
        <w:rPr>
          <w:rFonts w:eastAsia="Times New Roman"/>
          <w:lang w:eastAsia="en-AE"/>
        </w:rPr>
      </w:pPr>
      <w:bookmarkStart w:id="26" w:name="_Toc172743810"/>
      <w:r w:rsidRPr="003B70BD">
        <w:rPr>
          <w:rFonts w:eastAsia="Times New Roman"/>
          <w:lang w:eastAsia="en-AE"/>
        </w:rPr>
        <w:lastRenderedPageBreak/>
        <w:t>Debate Topic 4: Admission Standards vs. Open Access</w:t>
      </w:r>
      <w:bookmarkEnd w:id="26"/>
      <w:r w:rsidRPr="003B70BD">
        <w:rPr>
          <w:rFonts w:eastAsia="Times New Roman"/>
          <w:lang w:eastAsia="en-AE"/>
        </w:rPr>
        <w:br/>
      </w:r>
    </w:p>
    <w:p w14:paraId="6333B45A" w14:textId="77777777" w:rsidR="003B70BD" w:rsidRPr="003B70BD" w:rsidRDefault="003B70BD" w:rsidP="003B70BD">
      <w:pPr>
        <w:spacing w:line="256" w:lineRule="auto"/>
        <w:rPr>
          <w:rFonts w:ascii="Abadi" w:eastAsia="Aptos" w:hAnsi="Abadi" w:cs="Times New Roman"/>
          <w:b/>
          <w:bCs/>
          <w:sz w:val="28"/>
          <w:szCs w:val="28"/>
        </w:rPr>
      </w:pPr>
      <w:r w:rsidRPr="003B70BD">
        <w:rPr>
          <w:rFonts w:ascii="Abadi" w:eastAsia="Aptos" w:hAnsi="Abadi" w:cs="Times New Roman"/>
          <w:b/>
          <w:bCs/>
          <w:sz w:val="28"/>
          <w:szCs w:val="28"/>
        </w:rPr>
        <w:t>Debate Topic Overview</w:t>
      </w:r>
    </w:p>
    <w:p w14:paraId="519AC1F4" w14:textId="77777777" w:rsidR="003B70BD" w:rsidRPr="003B70BD" w:rsidRDefault="003B70BD" w:rsidP="003B70BD">
      <w:pPr>
        <w:spacing w:line="256" w:lineRule="auto"/>
        <w:rPr>
          <w:rFonts w:ascii="Abadi" w:eastAsia="Aptos" w:hAnsi="Abadi" w:cs="Times New Roman"/>
          <w:sz w:val="28"/>
          <w:szCs w:val="28"/>
        </w:rPr>
      </w:pPr>
      <w:r w:rsidRPr="003B70BD">
        <w:rPr>
          <w:rFonts w:ascii="Abadi" w:eastAsia="Aptos" w:hAnsi="Abadi" w:cs="Times New Roman"/>
          <w:sz w:val="28"/>
          <w:szCs w:val="28"/>
        </w:rPr>
        <w:t>This debate focuses on whether universities in Gaza should maintain stringent admission standards to ensure academic excellence or adopt open access policies to provide educational opportunities for all. Advocates for high admission standards argue that they are essential for maintaining quality education and producing highly skilled graduates. On the other hand, proponents of open access emphasize the importance of inclusivity, arguing that education should be available to everyone, especially in a region affected by Israel's war in Gaza, where many have been denied educational opportunities due to the occupation and military actions.</w:t>
      </w:r>
    </w:p>
    <w:p w14:paraId="390F7EA4" w14:textId="77777777" w:rsidR="003B70BD" w:rsidRPr="003B70BD" w:rsidRDefault="003B70BD" w:rsidP="003B70BD">
      <w:pPr>
        <w:spacing w:line="256" w:lineRule="auto"/>
        <w:rPr>
          <w:rFonts w:ascii="Abadi" w:eastAsia="Aptos" w:hAnsi="Abadi" w:cs="Times New Roman"/>
          <w:sz w:val="28"/>
          <w:szCs w:val="28"/>
        </w:rPr>
      </w:pPr>
    </w:p>
    <w:p w14:paraId="227A1A9E" w14:textId="77777777" w:rsidR="003B70BD" w:rsidRPr="003B70BD" w:rsidRDefault="003B70BD" w:rsidP="003B70BD">
      <w:pPr>
        <w:spacing w:line="256" w:lineRule="auto"/>
        <w:rPr>
          <w:rFonts w:ascii="Abadi" w:eastAsia="Aptos" w:hAnsi="Abadi" w:cs="Times New Roman"/>
          <w:b/>
          <w:bCs/>
          <w:sz w:val="28"/>
          <w:szCs w:val="28"/>
        </w:rPr>
      </w:pPr>
      <w:r w:rsidRPr="003B70BD">
        <w:rPr>
          <w:rFonts w:ascii="Abadi" w:eastAsia="Aptos" w:hAnsi="Abadi" w:cs="Times New Roman"/>
          <w:b/>
          <w:bCs/>
          <w:sz w:val="28"/>
          <w:szCs w:val="28"/>
        </w:rPr>
        <w:t>Moderator's Presentation</w:t>
      </w:r>
    </w:p>
    <w:p w14:paraId="415BEC5A" w14:textId="77777777" w:rsidR="003B70BD" w:rsidRPr="003B70BD" w:rsidRDefault="003B70BD" w:rsidP="003B70BD">
      <w:pPr>
        <w:numPr>
          <w:ilvl w:val="0"/>
          <w:numId w:val="33"/>
        </w:numPr>
        <w:spacing w:line="256" w:lineRule="auto"/>
        <w:rPr>
          <w:rFonts w:ascii="Abadi" w:eastAsia="Aptos" w:hAnsi="Abadi" w:cs="Times New Roman"/>
          <w:sz w:val="28"/>
          <w:szCs w:val="28"/>
        </w:rPr>
      </w:pPr>
      <w:r w:rsidRPr="003B70BD">
        <w:rPr>
          <w:rFonts w:ascii="Abadi" w:eastAsia="Aptos" w:hAnsi="Abadi" w:cs="Times New Roman"/>
          <w:b/>
          <w:bCs/>
          <w:sz w:val="28"/>
          <w:szCs w:val="28"/>
        </w:rPr>
        <w:t>Current Educational Landscape</w:t>
      </w:r>
      <w:r w:rsidRPr="003B70BD">
        <w:rPr>
          <w:rFonts w:ascii="Abadi" w:eastAsia="Aptos" w:hAnsi="Abadi" w:cs="Times New Roman"/>
          <w:sz w:val="28"/>
          <w:szCs w:val="28"/>
        </w:rPr>
        <w:t>: Gaza’s universities are grappling with the challenges posed by damaged infrastructure, limited resources, and the impact of prolonged occupation and military actions. These conditions affect both the quality of education and access to it.</w:t>
      </w:r>
    </w:p>
    <w:p w14:paraId="7E870113" w14:textId="77777777" w:rsidR="003B70BD" w:rsidRPr="003B70BD" w:rsidRDefault="003B70BD" w:rsidP="003B70BD">
      <w:pPr>
        <w:numPr>
          <w:ilvl w:val="0"/>
          <w:numId w:val="33"/>
        </w:numPr>
        <w:spacing w:line="256" w:lineRule="auto"/>
        <w:rPr>
          <w:rFonts w:ascii="Abadi" w:eastAsia="Aptos" w:hAnsi="Abadi" w:cs="Times New Roman"/>
          <w:sz w:val="28"/>
          <w:szCs w:val="28"/>
        </w:rPr>
      </w:pPr>
      <w:r w:rsidRPr="003B70BD">
        <w:rPr>
          <w:rFonts w:ascii="Abadi" w:eastAsia="Aptos" w:hAnsi="Abadi" w:cs="Times New Roman"/>
          <w:b/>
          <w:bCs/>
          <w:sz w:val="28"/>
          <w:szCs w:val="28"/>
        </w:rPr>
        <w:t>Importance of High Admission Standards</w:t>
      </w:r>
      <w:r w:rsidRPr="003B70BD">
        <w:rPr>
          <w:rFonts w:ascii="Abadi" w:eastAsia="Aptos" w:hAnsi="Abadi" w:cs="Times New Roman"/>
          <w:sz w:val="28"/>
          <w:szCs w:val="28"/>
        </w:rPr>
        <w:t>: Stringent admission standards help ensure that students entering university have the necessary academic preparation to succeed. This maintains the quality of education, ensuring that graduates are well-qualified and capable of contributing effectively to their fields. According to the World Bank, maintaining high academic standards is crucial for the reputation and effectiveness of educational institutions.</w:t>
      </w:r>
    </w:p>
    <w:p w14:paraId="1C412194" w14:textId="77777777" w:rsidR="003B70BD" w:rsidRPr="003B70BD" w:rsidRDefault="003B70BD" w:rsidP="003B70BD">
      <w:pPr>
        <w:numPr>
          <w:ilvl w:val="0"/>
          <w:numId w:val="33"/>
        </w:numPr>
        <w:spacing w:line="256" w:lineRule="auto"/>
        <w:rPr>
          <w:rFonts w:ascii="Abadi" w:eastAsia="Aptos" w:hAnsi="Abadi" w:cs="Times New Roman"/>
          <w:sz w:val="28"/>
          <w:szCs w:val="28"/>
        </w:rPr>
      </w:pPr>
      <w:r w:rsidRPr="003B70BD">
        <w:rPr>
          <w:rFonts w:ascii="Abadi" w:eastAsia="Aptos" w:hAnsi="Abadi" w:cs="Times New Roman"/>
          <w:b/>
          <w:bCs/>
          <w:sz w:val="28"/>
          <w:szCs w:val="28"/>
        </w:rPr>
        <w:t>Quality of Education and Academic Excellence</w:t>
      </w:r>
      <w:r w:rsidRPr="003B70BD">
        <w:rPr>
          <w:rFonts w:ascii="Abadi" w:eastAsia="Aptos" w:hAnsi="Abadi" w:cs="Times New Roman"/>
          <w:sz w:val="28"/>
          <w:szCs w:val="28"/>
        </w:rPr>
        <w:t>: High admission standards are associated with academic excellence, as they allow universities to admit students who are better prepared for rigorous coursework. This can lead to higher graduation rates and better educational outcomes. Research published in the Journal of Higher Education emphasizes the correlation between selective admissions and academic performance.</w:t>
      </w:r>
    </w:p>
    <w:p w14:paraId="09B1DEFF" w14:textId="77777777" w:rsidR="003B70BD" w:rsidRPr="003B70BD" w:rsidRDefault="003B70BD" w:rsidP="003B70BD">
      <w:pPr>
        <w:numPr>
          <w:ilvl w:val="0"/>
          <w:numId w:val="33"/>
        </w:numPr>
        <w:spacing w:line="256" w:lineRule="auto"/>
        <w:rPr>
          <w:rFonts w:ascii="Abadi" w:eastAsia="Aptos" w:hAnsi="Abadi" w:cs="Times New Roman"/>
          <w:sz w:val="28"/>
          <w:szCs w:val="28"/>
        </w:rPr>
      </w:pPr>
      <w:r w:rsidRPr="003B70BD">
        <w:rPr>
          <w:rFonts w:ascii="Abadi" w:eastAsia="Aptos" w:hAnsi="Abadi" w:cs="Times New Roman"/>
          <w:b/>
          <w:bCs/>
          <w:sz w:val="28"/>
          <w:szCs w:val="28"/>
        </w:rPr>
        <w:t>Resource Allocation and Efficiency</w:t>
      </w:r>
      <w:r w:rsidRPr="003B70BD">
        <w:rPr>
          <w:rFonts w:ascii="Abadi" w:eastAsia="Aptos" w:hAnsi="Abadi" w:cs="Times New Roman"/>
          <w:sz w:val="28"/>
          <w:szCs w:val="28"/>
        </w:rPr>
        <w:t xml:space="preserve">: Limited resources in Gaza's universities mean that maintaining high admission standards can </w:t>
      </w:r>
      <w:r w:rsidRPr="003B70BD">
        <w:rPr>
          <w:rFonts w:ascii="Abadi" w:eastAsia="Aptos" w:hAnsi="Abadi" w:cs="Times New Roman"/>
          <w:sz w:val="28"/>
          <w:szCs w:val="28"/>
        </w:rPr>
        <w:lastRenderedPageBreak/>
        <w:t>help ensure these resources are used efficiently. Focusing on students who are most likely to succeed can maximize the impact of available educational tools and facilities. A study by UNESCO highlights the importance of resource optimization in regions with constrained educational budgets.</w:t>
      </w:r>
    </w:p>
    <w:p w14:paraId="07C480E8" w14:textId="77777777" w:rsidR="003B70BD" w:rsidRPr="003B70BD" w:rsidRDefault="003B70BD" w:rsidP="003B70BD">
      <w:pPr>
        <w:numPr>
          <w:ilvl w:val="0"/>
          <w:numId w:val="33"/>
        </w:numPr>
        <w:spacing w:line="256" w:lineRule="auto"/>
        <w:rPr>
          <w:rFonts w:ascii="Abadi" w:eastAsia="Aptos" w:hAnsi="Abadi" w:cs="Times New Roman"/>
          <w:sz w:val="28"/>
          <w:szCs w:val="28"/>
        </w:rPr>
      </w:pPr>
      <w:r w:rsidRPr="003B70BD">
        <w:rPr>
          <w:rFonts w:ascii="Abadi" w:eastAsia="Aptos" w:hAnsi="Abadi" w:cs="Times New Roman"/>
          <w:b/>
          <w:bCs/>
          <w:sz w:val="28"/>
          <w:szCs w:val="28"/>
        </w:rPr>
        <w:t>Social Equity and Open Access</w:t>
      </w:r>
      <w:r w:rsidRPr="003B70BD">
        <w:rPr>
          <w:rFonts w:ascii="Abadi" w:eastAsia="Aptos" w:hAnsi="Abadi" w:cs="Times New Roman"/>
          <w:sz w:val="28"/>
          <w:szCs w:val="28"/>
        </w:rPr>
        <w:t xml:space="preserve">: Advocates for open access argue that education is a fundamental right and should be available to all, regardless of their academic background. In a region like Gaza, where many have been denied educational opportunities due to the occupation and military actions, open access can help address historical inequalities and promote social equity. The United Nations Educational, Scientific and Cultural Organization (UNESCO) supports the principle of inclusive education </w:t>
      </w:r>
      <w:proofErr w:type="gramStart"/>
      <w:r w:rsidRPr="003B70BD">
        <w:rPr>
          <w:rFonts w:ascii="Abadi" w:eastAsia="Aptos" w:hAnsi="Abadi" w:cs="Times New Roman"/>
          <w:sz w:val="28"/>
          <w:szCs w:val="28"/>
        </w:rPr>
        <w:t>as a means to</w:t>
      </w:r>
      <w:proofErr w:type="gramEnd"/>
      <w:r w:rsidRPr="003B70BD">
        <w:rPr>
          <w:rFonts w:ascii="Abadi" w:eastAsia="Aptos" w:hAnsi="Abadi" w:cs="Times New Roman"/>
          <w:sz w:val="28"/>
          <w:szCs w:val="28"/>
        </w:rPr>
        <w:t xml:space="preserve"> achieve equitable development.</w:t>
      </w:r>
    </w:p>
    <w:p w14:paraId="1891F476" w14:textId="77777777" w:rsidR="003B70BD" w:rsidRPr="003B70BD" w:rsidRDefault="003B70BD" w:rsidP="003B70BD">
      <w:pPr>
        <w:numPr>
          <w:ilvl w:val="0"/>
          <w:numId w:val="33"/>
        </w:numPr>
        <w:spacing w:line="256" w:lineRule="auto"/>
        <w:rPr>
          <w:rFonts w:ascii="Abadi" w:eastAsia="Aptos" w:hAnsi="Abadi" w:cs="Times New Roman"/>
          <w:sz w:val="28"/>
          <w:szCs w:val="28"/>
        </w:rPr>
      </w:pPr>
      <w:r w:rsidRPr="003B70BD">
        <w:rPr>
          <w:rFonts w:ascii="Abadi" w:eastAsia="Aptos" w:hAnsi="Abadi" w:cs="Times New Roman"/>
          <w:b/>
          <w:bCs/>
          <w:sz w:val="28"/>
          <w:szCs w:val="28"/>
        </w:rPr>
        <w:t>Addressing Educational Disruptions</w:t>
      </w:r>
      <w:r w:rsidRPr="003B70BD">
        <w:rPr>
          <w:rFonts w:ascii="Abadi" w:eastAsia="Aptos" w:hAnsi="Abadi" w:cs="Times New Roman"/>
          <w:sz w:val="28"/>
          <w:szCs w:val="28"/>
        </w:rPr>
        <w:t>: Many students in Gaza have faced significant disruptions in their education due to the occupation and military actions. Open access policies can provide these students with a second chance to pursue higher education, which is critical for personal development and community rebuilding. Research from the International Institute for Educational Planning (IIEP) underscores the importance of flexible admission policies in post-war recovery contexts.</w:t>
      </w:r>
    </w:p>
    <w:p w14:paraId="325C24D7" w14:textId="77777777" w:rsidR="003B70BD" w:rsidRPr="003B70BD" w:rsidRDefault="003B70BD" w:rsidP="003B70BD">
      <w:pPr>
        <w:numPr>
          <w:ilvl w:val="0"/>
          <w:numId w:val="33"/>
        </w:numPr>
        <w:spacing w:line="256" w:lineRule="auto"/>
        <w:rPr>
          <w:rFonts w:ascii="Abadi" w:eastAsia="Aptos" w:hAnsi="Abadi" w:cs="Times New Roman"/>
          <w:sz w:val="28"/>
          <w:szCs w:val="28"/>
        </w:rPr>
      </w:pPr>
      <w:r w:rsidRPr="003B70BD">
        <w:rPr>
          <w:rFonts w:ascii="Abadi" w:eastAsia="Aptos" w:hAnsi="Abadi" w:cs="Times New Roman"/>
          <w:b/>
          <w:bCs/>
          <w:sz w:val="28"/>
          <w:szCs w:val="28"/>
        </w:rPr>
        <w:t>Economic and Social Benefits of Inclusivity</w:t>
      </w:r>
      <w:r w:rsidRPr="003B70BD">
        <w:rPr>
          <w:rFonts w:ascii="Abadi" w:eastAsia="Aptos" w:hAnsi="Abadi" w:cs="Times New Roman"/>
          <w:sz w:val="28"/>
          <w:szCs w:val="28"/>
        </w:rPr>
        <w:t>: Providing open access to education can have broad economic and social benefits, including reducing unemployment, fostering social cohesion, and promoting civic engagement. Inclusive education policies can help build a more resilient and educated population capable of driving long-term development. The World Bank notes that inclusive educational policies are key to sustainable development in post-war regions.</w:t>
      </w:r>
    </w:p>
    <w:p w14:paraId="13FE1B02" w14:textId="77777777" w:rsidR="003B70BD" w:rsidRPr="003B70BD" w:rsidRDefault="003B70BD" w:rsidP="003B70BD">
      <w:pPr>
        <w:numPr>
          <w:ilvl w:val="0"/>
          <w:numId w:val="33"/>
        </w:numPr>
        <w:spacing w:line="256" w:lineRule="auto"/>
        <w:rPr>
          <w:rFonts w:ascii="Abadi" w:eastAsia="Aptos" w:hAnsi="Abadi" w:cs="Times New Roman"/>
          <w:sz w:val="28"/>
          <w:szCs w:val="28"/>
        </w:rPr>
      </w:pPr>
      <w:r w:rsidRPr="003B70BD">
        <w:rPr>
          <w:rFonts w:ascii="Abadi" w:eastAsia="Aptos" w:hAnsi="Abadi" w:cs="Times New Roman"/>
          <w:b/>
          <w:bCs/>
          <w:sz w:val="28"/>
          <w:szCs w:val="28"/>
        </w:rPr>
        <w:t>Balancing Quality and Inclusivity</w:t>
      </w:r>
      <w:r w:rsidRPr="003B70BD">
        <w:rPr>
          <w:rFonts w:ascii="Abadi" w:eastAsia="Aptos" w:hAnsi="Abadi" w:cs="Times New Roman"/>
          <w:sz w:val="28"/>
          <w:szCs w:val="28"/>
        </w:rPr>
        <w:t>: The challenge lies in finding a balance between maintaining high academic standards and promoting inclusivity. Some universities adopt a hybrid approach, implementing supportive measures such as preparatory programs or remedial courses to help underprepared students succeed. This approach can ensure that the benefits of both high standards and open access are realized.</w:t>
      </w:r>
    </w:p>
    <w:p w14:paraId="165ED978" w14:textId="77777777" w:rsidR="003B70BD" w:rsidRPr="003B70BD" w:rsidRDefault="003B70BD" w:rsidP="003B70BD">
      <w:pPr>
        <w:numPr>
          <w:ilvl w:val="0"/>
          <w:numId w:val="33"/>
        </w:numPr>
        <w:spacing w:line="256" w:lineRule="auto"/>
        <w:rPr>
          <w:rFonts w:ascii="Abadi" w:eastAsia="Aptos" w:hAnsi="Abadi" w:cs="Times New Roman"/>
          <w:sz w:val="28"/>
          <w:szCs w:val="28"/>
        </w:rPr>
      </w:pPr>
      <w:r w:rsidRPr="003B70BD">
        <w:rPr>
          <w:rFonts w:ascii="Abadi" w:eastAsia="Aptos" w:hAnsi="Abadi" w:cs="Times New Roman"/>
          <w:b/>
          <w:bCs/>
          <w:sz w:val="28"/>
          <w:szCs w:val="28"/>
        </w:rPr>
        <w:t>Case Studies and Comparative Analysis</w:t>
      </w:r>
      <w:r w:rsidRPr="003B70BD">
        <w:rPr>
          <w:rFonts w:ascii="Abadi" w:eastAsia="Aptos" w:hAnsi="Abadi" w:cs="Times New Roman"/>
          <w:sz w:val="28"/>
          <w:szCs w:val="28"/>
        </w:rPr>
        <w:t xml:space="preserve">: Examining other post-occupation regions, such as South Africa and Lebanon, reveals </w:t>
      </w:r>
      <w:r w:rsidRPr="003B70BD">
        <w:rPr>
          <w:rFonts w:ascii="Abadi" w:eastAsia="Aptos" w:hAnsi="Abadi" w:cs="Times New Roman"/>
          <w:sz w:val="28"/>
          <w:szCs w:val="28"/>
        </w:rPr>
        <w:lastRenderedPageBreak/>
        <w:t>successful models of balancing admission standards and open access. These regions have implemented policies that maintain academic quality while expanding educational opportunities, providing valuable insights for Gaza’s universities.</w:t>
      </w:r>
    </w:p>
    <w:p w14:paraId="4FC99DD8" w14:textId="77777777" w:rsidR="003B70BD" w:rsidRPr="003B70BD" w:rsidRDefault="003B70BD" w:rsidP="003B70BD">
      <w:pPr>
        <w:numPr>
          <w:ilvl w:val="0"/>
          <w:numId w:val="33"/>
        </w:numPr>
        <w:spacing w:line="256" w:lineRule="auto"/>
        <w:rPr>
          <w:rFonts w:ascii="Abadi" w:eastAsia="Aptos" w:hAnsi="Abadi" w:cs="Times New Roman"/>
          <w:sz w:val="28"/>
          <w:szCs w:val="28"/>
        </w:rPr>
      </w:pPr>
      <w:r w:rsidRPr="003B70BD">
        <w:rPr>
          <w:rFonts w:ascii="Abadi" w:eastAsia="Aptos" w:hAnsi="Abadi" w:cs="Times New Roman"/>
          <w:b/>
          <w:bCs/>
          <w:sz w:val="28"/>
          <w:szCs w:val="28"/>
        </w:rPr>
        <w:t>Stakeholder Perspectives</w:t>
      </w:r>
      <w:r w:rsidRPr="003B70BD">
        <w:rPr>
          <w:rFonts w:ascii="Abadi" w:eastAsia="Aptos" w:hAnsi="Abadi" w:cs="Times New Roman"/>
          <w:sz w:val="28"/>
          <w:szCs w:val="28"/>
        </w:rPr>
        <w:t>: Engaging with various stakeholders, including educational authorities, faculty, students, and community leaders, is crucial in shaping admission policies that meet Gaza’s unique needs. Their input can guide the development of a balanced approach that ensures both academic excellence and inclusivity.</w:t>
      </w:r>
    </w:p>
    <w:p w14:paraId="04B94BBA" w14:textId="77777777" w:rsidR="003B70BD" w:rsidRPr="003B70BD" w:rsidRDefault="003B70BD" w:rsidP="003B70BD">
      <w:pPr>
        <w:spacing w:line="256" w:lineRule="auto"/>
        <w:rPr>
          <w:rFonts w:ascii="Abadi" w:eastAsia="Aptos" w:hAnsi="Abadi" w:cs="Times New Roman"/>
          <w:sz w:val="28"/>
          <w:szCs w:val="28"/>
        </w:rPr>
      </w:pPr>
    </w:p>
    <w:p w14:paraId="539AD365" w14:textId="77777777" w:rsidR="003B70BD" w:rsidRPr="003B70BD" w:rsidRDefault="003B70BD" w:rsidP="003B70BD">
      <w:pPr>
        <w:spacing w:line="256" w:lineRule="auto"/>
        <w:rPr>
          <w:rFonts w:ascii="Abadi" w:eastAsia="Aptos" w:hAnsi="Abadi" w:cs="Times New Roman"/>
          <w:b/>
          <w:bCs/>
          <w:sz w:val="28"/>
          <w:szCs w:val="28"/>
        </w:rPr>
      </w:pPr>
      <w:r w:rsidRPr="003B70BD">
        <w:rPr>
          <w:rFonts w:ascii="Abadi" w:eastAsia="Aptos" w:hAnsi="Abadi" w:cs="Times New Roman"/>
          <w:b/>
          <w:bCs/>
          <w:sz w:val="28"/>
          <w:szCs w:val="28"/>
        </w:rPr>
        <w:t>Advocate A Presentation: In Support of High Admission Standards</w:t>
      </w:r>
    </w:p>
    <w:p w14:paraId="75ACA5B3" w14:textId="77777777" w:rsidR="003B70BD" w:rsidRPr="003B70BD" w:rsidRDefault="003B70BD" w:rsidP="003B70BD">
      <w:pPr>
        <w:spacing w:line="256" w:lineRule="auto"/>
        <w:rPr>
          <w:rFonts w:ascii="Abadi" w:eastAsia="Aptos" w:hAnsi="Abadi" w:cs="Times New Roman"/>
          <w:sz w:val="28"/>
          <w:szCs w:val="28"/>
        </w:rPr>
      </w:pPr>
      <w:r w:rsidRPr="003B70BD">
        <w:rPr>
          <w:rFonts w:ascii="Abadi" w:eastAsia="Aptos" w:hAnsi="Abadi" w:cs="Times New Roman"/>
          <w:sz w:val="28"/>
          <w:szCs w:val="28"/>
        </w:rPr>
        <w:t>Maintaining high admission standards in Gaza's universities is essential for ensuring academic excellence and the effective use of limited resources. Here are five detailed and research-backed points supporting this view:</w:t>
      </w:r>
    </w:p>
    <w:p w14:paraId="7B5DC653" w14:textId="77777777" w:rsidR="003B70BD" w:rsidRPr="003B70BD" w:rsidRDefault="003B70BD" w:rsidP="003B70BD">
      <w:pPr>
        <w:numPr>
          <w:ilvl w:val="0"/>
          <w:numId w:val="34"/>
        </w:numPr>
        <w:spacing w:line="256" w:lineRule="auto"/>
        <w:rPr>
          <w:rFonts w:ascii="Abadi" w:eastAsia="Aptos" w:hAnsi="Abadi" w:cs="Times New Roman"/>
          <w:sz w:val="28"/>
          <w:szCs w:val="28"/>
        </w:rPr>
      </w:pPr>
      <w:r w:rsidRPr="003B70BD">
        <w:rPr>
          <w:rFonts w:ascii="Abadi" w:eastAsia="Aptos" w:hAnsi="Abadi" w:cs="Times New Roman"/>
          <w:b/>
          <w:bCs/>
          <w:sz w:val="28"/>
          <w:szCs w:val="28"/>
        </w:rPr>
        <w:t>Ensuring Academic Preparedness and Success</w:t>
      </w:r>
      <w:r w:rsidRPr="003B70BD">
        <w:rPr>
          <w:rFonts w:ascii="Abadi" w:eastAsia="Aptos" w:hAnsi="Abadi" w:cs="Times New Roman"/>
          <w:sz w:val="28"/>
          <w:szCs w:val="28"/>
        </w:rPr>
        <w:t>: High admission standards ensure that students entering university possess the necessary academic foundation to handle rigorous coursework. This preparedness is crucial for maintaining the quality of education and ensuring that students can succeed in their studies. According to a study by the World Bank, students who meet higher admission criteria are more likely to complete their degrees and achieve higher academic performance, contributing to the overall reputation and effectiveness of the institution.</w:t>
      </w:r>
    </w:p>
    <w:p w14:paraId="578E598F" w14:textId="77777777" w:rsidR="003B70BD" w:rsidRPr="003B70BD" w:rsidRDefault="003B70BD" w:rsidP="003B70BD">
      <w:pPr>
        <w:numPr>
          <w:ilvl w:val="0"/>
          <w:numId w:val="34"/>
        </w:numPr>
        <w:spacing w:line="256" w:lineRule="auto"/>
        <w:rPr>
          <w:rFonts w:ascii="Abadi" w:eastAsia="Aptos" w:hAnsi="Abadi" w:cs="Times New Roman"/>
          <w:sz w:val="28"/>
          <w:szCs w:val="28"/>
        </w:rPr>
      </w:pPr>
      <w:r w:rsidRPr="003B70BD">
        <w:rPr>
          <w:rFonts w:ascii="Abadi" w:eastAsia="Aptos" w:hAnsi="Abadi" w:cs="Times New Roman"/>
          <w:b/>
          <w:bCs/>
          <w:sz w:val="28"/>
          <w:szCs w:val="28"/>
        </w:rPr>
        <w:t>Maximizing Resource Efficiency</w:t>
      </w:r>
      <w:r w:rsidRPr="003B70BD">
        <w:rPr>
          <w:rFonts w:ascii="Abadi" w:eastAsia="Aptos" w:hAnsi="Abadi" w:cs="Times New Roman"/>
          <w:sz w:val="28"/>
          <w:szCs w:val="28"/>
        </w:rPr>
        <w:t>: Given the limited resources available to Gaza's universities, it is vital to allocate these resources efficiently. High admission standards help focus resources on students who are most likely to succeed and benefit from the education provided. This approach ensures that the limited faculty, facilities, and financial resources are utilized effectively, leading to better educational outcomes. UNESCO emphasizes the importance of resource optimization in regions with constrained educational budgets, highlighting the need to prioritize students who are academically prepared.</w:t>
      </w:r>
    </w:p>
    <w:p w14:paraId="0B0EA316" w14:textId="77777777" w:rsidR="003B70BD" w:rsidRPr="003B70BD" w:rsidRDefault="003B70BD" w:rsidP="003B70BD">
      <w:pPr>
        <w:numPr>
          <w:ilvl w:val="0"/>
          <w:numId w:val="34"/>
        </w:numPr>
        <w:spacing w:line="256" w:lineRule="auto"/>
        <w:rPr>
          <w:rFonts w:ascii="Abadi" w:eastAsia="Aptos" w:hAnsi="Abadi" w:cs="Times New Roman"/>
          <w:sz w:val="28"/>
          <w:szCs w:val="28"/>
        </w:rPr>
      </w:pPr>
      <w:r w:rsidRPr="003B70BD">
        <w:rPr>
          <w:rFonts w:ascii="Abadi" w:eastAsia="Aptos" w:hAnsi="Abadi" w:cs="Times New Roman"/>
          <w:b/>
          <w:bCs/>
          <w:sz w:val="28"/>
          <w:szCs w:val="28"/>
        </w:rPr>
        <w:t>Promoting Academic Excellence and Innovation</w:t>
      </w:r>
      <w:r w:rsidRPr="003B70BD">
        <w:rPr>
          <w:rFonts w:ascii="Abadi" w:eastAsia="Aptos" w:hAnsi="Abadi" w:cs="Times New Roman"/>
          <w:sz w:val="28"/>
          <w:szCs w:val="28"/>
        </w:rPr>
        <w:t xml:space="preserve">: Universities with high admission standards tend to attract students who are motivated and capable of achieving academic excellence. These students contribute to a stimulating academic environment that fosters </w:t>
      </w:r>
      <w:r w:rsidRPr="003B70BD">
        <w:rPr>
          <w:rFonts w:ascii="Abadi" w:eastAsia="Aptos" w:hAnsi="Abadi" w:cs="Times New Roman"/>
          <w:sz w:val="28"/>
          <w:szCs w:val="28"/>
        </w:rPr>
        <w:lastRenderedPageBreak/>
        <w:t>innovation and high-quality research. Research published in the Journal of Higher Education shows that selective admission policies are correlated with higher levels of student achievement and institutional prestige, which can attract further funding and support.</w:t>
      </w:r>
    </w:p>
    <w:p w14:paraId="4B933831" w14:textId="77777777" w:rsidR="003B70BD" w:rsidRPr="003B70BD" w:rsidRDefault="003B70BD" w:rsidP="003B70BD">
      <w:pPr>
        <w:numPr>
          <w:ilvl w:val="0"/>
          <w:numId w:val="34"/>
        </w:numPr>
        <w:spacing w:line="256" w:lineRule="auto"/>
        <w:rPr>
          <w:rFonts w:ascii="Abadi" w:eastAsia="Aptos" w:hAnsi="Abadi" w:cs="Times New Roman"/>
          <w:sz w:val="28"/>
          <w:szCs w:val="28"/>
        </w:rPr>
      </w:pPr>
      <w:r w:rsidRPr="003B70BD">
        <w:rPr>
          <w:rFonts w:ascii="Abadi" w:eastAsia="Aptos" w:hAnsi="Abadi" w:cs="Times New Roman"/>
          <w:b/>
          <w:bCs/>
          <w:sz w:val="28"/>
          <w:szCs w:val="28"/>
        </w:rPr>
        <w:t>Maintaining Institutional Reputation and Credibility</w:t>
      </w:r>
      <w:r w:rsidRPr="003B70BD">
        <w:rPr>
          <w:rFonts w:ascii="Abadi" w:eastAsia="Aptos" w:hAnsi="Abadi" w:cs="Times New Roman"/>
          <w:sz w:val="28"/>
          <w:szCs w:val="28"/>
        </w:rPr>
        <w:t>: High admission standards help maintain the reputation and credibility of Gaza's universities, both locally and internationally. A strong reputation enhances the institution's ability to attract talented faculty, secure research funding, and establish partnerships with other universities and organizations. The International Association of Universities highlights that maintaining rigorous academic standards is crucial for institutions aiming to be competitive on a global scale, which can ultimately benefit the local community by bringing in new opportunities and resources.</w:t>
      </w:r>
    </w:p>
    <w:p w14:paraId="69DF884A" w14:textId="77777777" w:rsidR="003B70BD" w:rsidRPr="003B70BD" w:rsidRDefault="003B70BD" w:rsidP="003B70BD">
      <w:pPr>
        <w:numPr>
          <w:ilvl w:val="0"/>
          <w:numId w:val="34"/>
        </w:numPr>
        <w:spacing w:line="256" w:lineRule="auto"/>
        <w:rPr>
          <w:rFonts w:ascii="Abadi" w:eastAsia="Aptos" w:hAnsi="Abadi" w:cs="Times New Roman"/>
          <w:sz w:val="28"/>
          <w:szCs w:val="28"/>
        </w:rPr>
      </w:pPr>
      <w:r w:rsidRPr="003B70BD">
        <w:rPr>
          <w:rFonts w:ascii="Abadi" w:eastAsia="Aptos" w:hAnsi="Abadi" w:cs="Times New Roman"/>
          <w:b/>
          <w:bCs/>
          <w:sz w:val="28"/>
          <w:szCs w:val="28"/>
        </w:rPr>
        <w:t>Fostering Long-Term Economic Development</w:t>
      </w:r>
      <w:r w:rsidRPr="003B70BD">
        <w:rPr>
          <w:rFonts w:ascii="Abadi" w:eastAsia="Aptos" w:hAnsi="Abadi" w:cs="Times New Roman"/>
          <w:sz w:val="28"/>
          <w:szCs w:val="28"/>
        </w:rPr>
        <w:t>: Graduates who have met high admission standards are more likely to be well-prepared for the workforce and contribute effectively to the economy. By ensuring that students have the skills and knowledge needed for high-demand fields, universities can play a key role in driving economic development and addressing local challenges. A report by the World Economic Forum underscores the link between high-quality education and long-term economic growth, emphasizing that well-educated graduates are critical for innovation and productivity.</w:t>
      </w:r>
    </w:p>
    <w:p w14:paraId="3F7C6C94" w14:textId="77777777" w:rsidR="003B70BD" w:rsidRPr="003B70BD" w:rsidRDefault="003B70BD" w:rsidP="003B70BD">
      <w:pPr>
        <w:spacing w:line="256" w:lineRule="auto"/>
        <w:rPr>
          <w:rFonts w:ascii="Abadi" w:eastAsia="Aptos" w:hAnsi="Abadi" w:cs="Times New Roman"/>
          <w:sz w:val="28"/>
          <w:szCs w:val="28"/>
        </w:rPr>
      </w:pPr>
    </w:p>
    <w:p w14:paraId="235E409C" w14:textId="77777777" w:rsidR="003B70BD" w:rsidRPr="003B70BD" w:rsidRDefault="003B70BD" w:rsidP="003B70BD">
      <w:pPr>
        <w:spacing w:line="256" w:lineRule="auto"/>
        <w:rPr>
          <w:rFonts w:ascii="Abadi" w:eastAsia="Aptos" w:hAnsi="Abadi" w:cs="Times New Roman"/>
          <w:b/>
          <w:bCs/>
          <w:sz w:val="28"/>
          <w:szCs w:val="28"/>
        </w:rPr>
      </w:pPr>
      <w:r w:rsidRPr="003B70BD">
        <w:rPr>
          <w:rFonts w:ascii="Abadi" w:eastAsia="Aptos" w:hAnsi="Abadi" w:cs="Times New Roman"/>
          <w:b/>
          <w:bCs/>
          <w:sz w:val="28"/>
          <w:szCs w:val="28"/>
        </w:rPr>
        <w:t>Advocate B Presentation: In Support of Open Access</w:t>
      </w:r>
    </w:p>
    <w:p w14:paraId="71E16827" w14:textId="77777777" w:rsidR="003B70BD" w:rsidRPr="003B70BD" w:rsidRDefault="003B70BD" w:rsidP="003B70BD">
      <w:pPr>
        <w:spacing w:line="256" w:lineRule="auto"/>
        <w:rPr>
          <w:rFonts w:ascii="Abadi" w:eastAsia="Aptos" w:hAnsi="Abadi" w:cs="Times New Roman"/>
          <w:sz w:val="28"/>
          <w:szCs w:val="28"/>
        </w:rPr>
      </w:pPr>
      <w:r w:rsidRPr="003B70BD">
        <w:rPr>
          <w:rFonts w:ascii="Abadi" w:eastAsia="Aptos" w:hAnsi="Abadi" w:cs="Times New Roman"/>
          <w:sz w:val="28"/>
          <w:szCs w:val="28"/>
        </w:rPr>
        <w:t>Promoting open access in Gaza’s universities is essential for ensuring inclusivity and addressing the educational needs of all individuals, especially those affected by Israel's war in Gaza. Here are five detailed and research-backed points supporting this view:</w:t>
      </w:r>
    </w:p>
    <w:p w14:paraId="6F6584F2" w14:textId="77777777" w:rsidR="003B70BD" w:rsidRPr="003B70BD" w:rsidRDefault="003B70BD" w:rsidP="003B70BD">
      <w:pPr>
        <w:numPr>
          <w:ilvl w:val="0"/>
          <w:numId w:val="35"/>
        </w:numPr>
        <w:spacing w:line="256" w:lineRule="auto"/>
        <w:rPr>
          <w:rFonts w:ascii="Abadi" w:eastAsia="Aptos" w:hAnsi="Abadi" w:cs="Times New Roman"/>
          <w:sz w:val="28"/>
          <w:szCs w:val="28"/>
        </w:rPr>
      </w:pPr>
      <w:r w:rsidRPr="003B70BD">
        <w:rPr>
          <w:rFonts w:ascii="Abadi" w:eastAsia="Aptos" w:hAnsi="Abadi" w:cs="Times New Roman"/>
          <w:b/>
          <w:bCs/>
          <w:sz w:val="28"/>
          <w:szCs w:val="28"/>
        </w:rPr>
        <w:t>Ensuring Educational Equity</w:t>
      </w:r>
      <w:r w:rsidRPr="003B70BD">
        <w:rPr>
          <w:rFonts w:ascii="Abadi" w:eastAsia="Aptos" w:hAnsi="Abadi" w:cs="Times New Roman"/>
          <w:sz w:val="28"/>
          <w:szCs w:val="28"/>
        </w:rPr>
        <w:t>: Open access policies help address the educational disparities exacerbated by the occupation and military actions. Many students in Gaza have faced interruptions in their education, making it difficult to meet high admission standards. Open access provides these students with the opportunity to pursue higher education, promoting social equity and justice. According to UNESCO, inclusive education policies are crucial for achieving equitable development and providing all individuals with the opportunity to improve their lives through education.</w:t>
      </w:r>
    </w:p>
    <w:p w14:paraId="24AA1D98" w14:textId="77777777" w:rsidR="003B70BD" w:rsidRPr="003B70BD" w:rsidRDefault="003B70BD" w:rsidP="003B70BD">
      <w:pPr>
        <w:numPr>
          <w:ilvl w:val="0"/>
          <w:numId w:val="35"/>
        </w:numPr>
        <w:spacing w:line="256" w:lineRule="auto"/>
        <w:rPr>
          <w:rFonts w:ascii="Abadi" w:eastAsia="Aptos" w:hAnsi="Abadi" w:cs="Times New Roman"/>
          <w:sz w:val="28"/>
          <w:szCs w:val="28"/>
        </w:rPr>
      </w:pPr>
      <w:r w:rsidRPr="003B70BD">
        <w:rPr>
          <w:rFonts w:ascii="Abadi" w:eastAsia="Aptos" w:hAnsi="Abadi" w:cs="Times New Roman"/>
          <w:b/>
          <w:bCs/>
          <w:sz w:val="28"/>
          <w:szCs w:val="28"/>
        </w:rPr>
        <w:lastRenderedPageBreak/>
        <w:t>Addressing the Needs of Displaced and Traumatized Students</w:t>
      </w:r>
      <w:r w:rsidRPr="003B70BD">
        <w:rPr>
          <w:rFonts w:ascii="Abadi" w:eastAsia="Aptos" w:hAnsi="Abadi" w:cs="Times New Roman"/>
          <w:sz w:val="28"/>
          <w:szCs w:val="28"/>
        </w:rPr>
        <w:t>: The prolonged occupation and military actions in Gaza have led to widespread displacement and trauma, affecting students' ability to perform academically. Open access policies can accommodate these students by offering them a chance to rebuild their lives and careers through education. Research from the International Institute for Educational Planning (IIEP) highlights the importance of flexible and inclusive admission policies in post-war recovery contexts, noting that such policies can help integrate displaced and traumatized individuals back into the educational system.</w:t>
      </w:r>
    </w:p>
    <w:p w14:paraId="2D3E166E" w14:textId="77777777" w:rsidR="003B70BD" w:rsidRPr="003B70BD" w:rsidRDefault="003B70BD" w:rsidP="003B70BD">
      <w:pPr>
        <w:numPr>
          <w:ilvl w:val="0"/>
          <w:numId w:val="35"/>
        </w:numPr>
        <w:spacing w:line="256" w:lineRule="auto"/>
        <w:rPr>
          <w:rFonts w:ascii="Abadi" w:eastAsia="Aptos" w:hAnsi="Abadi" w:cs="Times New Roman"/>
          <w:sz w:val="28"/>
          <w:szCs w:val="28"/>
        </w:rPr>
      </w:pPr>
      <w:r w:rsidRPr="003B70BD">
        <w:rPr>
          <w:rFonts w:ascii="Abadi" w:eastAsia="Aptos" w:hAnsi="Abadi" w:cs="Times New Roman"/>
          <w:b/>
          <w:bCs/>
          <w:sz w:val="28"/>
          <w:szCs w:val="28"/>
        </w:rPr>
        <w:t>Fostering Social Cohesion and Community Rebuilding</w:t>
      </w:r>
      <w:r w:rsidRPr="003B70BD">
        <w:rPr>
          <w:rFonts w:ascii="Abadi" w:eastAsia="Aptos" w:hAnsi="Abadi" w:cs="Times New Roman"/>
          <w:sz w:val="28"/>
          <w:szCs w:val="28"/>
        </w:rPr>
        <w:t>: Open access to education can play a significant role in fostering social cohesion and rebuilding communities affected by occupation and military actions. By providing educational opportunities to all, universities can help bridge social divides and promote a sense of unity and collective purpose. The United Nations Development Programme (UNDP) emphasizes the role of inclusive education in post-war contexts, highlighting that education is a powerful tool for healing and community building.</w:t>
      </w:r>
    </w:p>
    <w:p w14:paraId="41EF3501" w14:textId="77777777" w:rsidR="003B70BD" w:rsidRPr="003B70BD" w:rsidRDefault="003B70BD" w:rsidP="003B70BD">
      <w:pPr>
        <w:numPr>
          <w:ilvl w:val="0"/>
          <w:numId w:val="35"/>
        </w:numPr>
        <w:spacing w:line="256" w:lineRule="auto"/>
        <w:rPr>
          <w:rFonts w:ascii="Abadi" w:eastAsia="Aptos" w:hAnsi="Abadi" w:cs="Times New Roman"/>
          <w:sz w:val="28"/>
          <w:szCs w:val="28"/>
        </w:rPr>
      </w:pPr>
      <w:r w:rsidRPr="003B70BD">
        <w:rPr>
          <w:rFonts w:ascii="Abadi" w:eastAsia="Aptos" w:hAnsi="Abadi" w:cs="Times New Roman"/>
          <w:b/>
          <w:bCs/>
          <w:sz w:val="28"/>
          <w:szCs w:val="28"/>
        </w:rPr>
        <w:t>Enhancing Workforce Development</w:t>
      </w:r>
      <w:r w:rsidRPr="003B70BD">
        <w:rPr>
          <w:rFonts w:ascii="Abadi" w:eastAsia="Aptos" w:hAnsi="Abadi" w:cs="Times New Roman"/>
          <w:sz w:val="28"/>
          <w:szCs w:val="28"/>
        </w:rPr>
        <w:t>: Open access policies can help develop a more diverse and skilled workforce by providing educational opportunities to a broader range of individuals. This inclusivity can lead to a more dynamic and adaptable workforce, capable of meeting the diverse needs of Gaza’s economy. A study by the World Bank on workforce development in post-conflict regions underscores the importance of inclusive educational policies in creating a resilient and versatile workforce, which is essential for economic recovery and growth.</w:t>
      </w:r>
    </w:p>
    <w:p w14:paraId="10D1464D" w14:textId="77777777" w:rsidR="003B70BD" w:rsidRPr="003B70BD" w:rsidRDefault="003B70BD" w:rsidP="003B70BD">
      <w:pPr>
        <w:numPr>
          <w:ilvl w:val="0"/>
          <w:numId w:val="35"/>
        </w:numPr>
        <w:spacing w:line="256" w:lineRule="auto"/>
        <w:rPr>
          <w:rFonts w:ascii="Abadi" w:eastAsia="Aptos" w:hAnsi="Abadi" w:cs="Times New Roman"/>
          <w:sz w:val="28"/>
          <w:szCs w:val="28"/>
        </w:rPr>
      </w:pPr>
      <w:r w:rsidRPr="003B70BD">
        <w:rPr>
          <w:rFonts w:ascii="Abadi" w:eastAsia="Aptos" w:hAnsi="Abadi" w:cs="Times New Roman"/>
          <w:b/>
          <w:bCs/>
          <w:sz w:val="28"/>
          <w:szCs w:val="28"/>
        </w:rPr>
        <w:t>Promoting Lifelong Learning and Adaptability</w:t>
      </w:r>
      <w:r w:rsidRPr="003B70BD">
        <w:rPr>
          <w:rFonts w:ascii="Abadi" w:eastAsia="Aptos" w:hAnsi="Abadi" w:cs="Times New Roman"/>
          <w:sz w:val="28"/>
          <w:szCs w:val="28"/>
        </w:rPr>
        <w:t>: Open access policies encourage a culture of lifelong learning, where individuals are motivated to continuously improve their skills and knowledge. This adaptability is crucial in a rapidly changing global economy and can help Gaza’s population remain competitive and innovative. According to the OECD, lifelong learning is a key component of sustainable development, as it promotes continuous personal and professional growth, enabling individuals to adapt to new challenges and opportunities.</w:t>
      </w:r>
    </w:p>
    <w:p w14:paraId="4782B0C5" w14:textId="77777777" w:rsidR="003B70BD" w:rsidRPr="003B70BD" w:rsidRDefault="003B70BD" w:rsidP="003B70BD">
      <w:pPr>
        <w:spacing w:line="256" w:lineRule="auto"/>
        <w:rPr>
          <w:rFonts w:ascii="Abadi" w:eastAsia="Aptos" w:hAnsi="Abadi" w:cs="Times New Roman"/>
          <w:sz w:val="28"/>
          <w:szCs w:val="28"/>
        </w:rPr>
      </w:pPr>
    </w:p>
    <w:p w14:paraId="7BC44344" w14:textId="77777777" w:rsidR="003B70BD" w:rsidRPr="003B70BD" w:rsidRDefault="003B70BD" w:rsidP="003B70BD">
      <w:pPr>
        <w:spacing w:line="256" w:lineRule="auto"/>
        <w:rPr>
          <w:rFonts w:ascii="Abadi" w:eastAsia="Aptos" w:hAnsi="Abadi" w:cs="Times New Roman"/>
          <w:b/>
          <w:bCs/>
          <w:sz w:val="28"/>
          <w:szCs w:val="28"/>
        </w:rPr>
      </w:pPr>
      <w:r w:rsidRPr="003B70BD">
        <w:rPr>
          <w:rFonts w:ascii="Abadi" w:eastAsia="Aptos" w:hAnsi="Abadi" w:cs="Times New Roman"/>
          <w:b/>
          <w:bCs/>
          <w:sz w:val="28"/>
          <w:szCs w:val="28"/>
        </w:rPr>
        <w:lastRenderedPageBreak/>
        <w:t>Advocate A Responding to Advocate B</w:t>
      </w:r>
    </w:p>
    <w:p w14:paraId="33556F68" w14:textId="77777777" w:rsidR="003B70BD" w:rsidRPr="003B70BD" w:rsidRDefault="003B70BD" w:rsidP="003B70BD">
      <w:pPr>
        <w:spacing w:line="256" w:lineRule="auto"/>
        <w:rPr>
          <w:rFonts w:ascii="Abadi" w:eastAsia="Aptos" w:hAnsi="Abadi" w:cs="Times New Roman"/>
          <w:sz w:val="28"/>
          <w:szCs w:val="28"/>
        </w:rPr>
      </w:pPr>
      <w:r w:rsidRPr="003B70BD">
        <w:rPr>
          <w:rFonts w:ascii="Abadi" w:eastAsia="Aptos" w:hAnsi="Abadi" w:cs="Times New Roman"/>
          <w:sz w:val="28"/>
          <w:szCs w:val="28"/>
        </w:rPr>
        <w:t>While open access is essential for promoting educational equity and addressing the needs of those affected by Israel's war in Gaza, maintaining high admission standards is crucial for ensuring academic excellence and the efficient use of limited resources. High standards help ensure that students are well-prepared for the rigors of university coursework, which leads to better educational outcomes and higher graduation rates. Moreover, focusing resources on students who meet these standards maximizes the impact of available facilities and faculty, contributing to a more robust and competitive educational system. Balancing inclusivity with academic rigor can ensure that Gaza’s universities produce graduates who are both well-educated and capable of driving long-term development.</w:t>
      </w:r>
    </w:p>
    <w:p w14:paraId="6F9FAB3D" w14:textId="77777777" w:rsidR="003B70BD" w:rsidRPr="003B70BD" w:rsidRDefault="003B70BD" w:rsidP="003B70BD">
      <w:pPr>
        <w:spacing w:line="256" w:lineRule="auto"/>
        <w:rPr>
          <w:rFonts w:ascii="Abadi" w:eastAsia="Aptos" w:hAnsi="Abadi" w:cs="Times New Roman"/>
          <w:sz w:val="28"/>
          <w:szCs w:val="28"/>
        </w:rPr>
      </w:pPr>
    </w:p>
    <w:p w14:paraId="5B7947C8" w14:textId="77777777" w:rsidR="003B70BD" w:rsidRPr="003B70BD" w:rsidRDefault="003B70BD" w:rsidP="003B70BD">
      <w:pPr>
        <w:spacing w:line="256" w:lineRule="auto"/>
        <w:rPr>
          <w:rFonts w:ascii="Abadi" w:eastAsia="Aptos" w:hAnsi="Abadi" w:cs="Times New Roman"/>
          <w:b/>
          <w:bCs/>
          <w:sz w:val="28"/>
          <w:szCs w:val="28"/>
        </w:rPr>
      </w:pPr>
      <w:r w:rsidRPr="003B70BD">
        <w:rPr>
          <w:rFonts w:ascii="Abadi" w:eastAsia="Aptos" w:hAnsi="Abadi" w:cs="Times New Roman"/>
          <w:b/>
          <w:bCs/>
          <w:sz w:val="28"/>
          <w:szCs w:val="28"/>
        </w:rPr>
        <w:t>Advocate B Responding to Advocate A</w:t>
      </w:r>
    </w:p>
    <w:p w14:paraId="56C3B0FA" w14:textId="77777777" w:rsidR="003B70BD" w:rsidRPr="003B70BD" w:rsidRDefault="003B70BD" w:rsidP="003B70BD">
      <w:pPr>
        <w:spacing w:line="256" w:lineRule="auto"/>
        <w:rPr>
          <w:rFonts w:ascii="Abadi" w:eastAsia="Aptos" w:hAnsi="Abadi" w:cs="Times New Roman"/>
          <w:sz w:val="28"/>
          <w:szCs w:val="28"/>
        </w:rPr>
      </w:pPr>
      <w:r w:rsidRPr="003B70BD">
        <w:rPr>
          <w:rFonts w:ascii="Abadi" w:eastAsia="Aptos" w:hAnsi="Abadi" w:cs="Times New Roman"/>
          <w:sz w:val="28"/>
          <w:szCs w:val="28"/>
        </w:rPr>
        <w:t>While maintaining high admission standards ensures academic excellence, the unique circumstances in Gaza necessitate a more inclusive approach. Open access policies are crucial for providing opportunities to those whose education has been disrupted by Israel's war in Gaza, promoting social equity, and fostering community rebuilding. Many capable students may not meet stringent criteria due to the impact of occupation and military actions, but with proper support, they can thrive academically. Inclusive policies can enhance social cohesion, develop a diverse workforce, and promote lifelong learning, which are essential for both immediate recovery and long-term resilience.</w:t>
      </w:r>
    </w:p>
    <w:p w14:paraId="2C69412F" w14:textId="77777777" w:rsidR="003B70BD" w:rsidRPr="003B70BD" w:rsidRDefault="003B70BD" w:rsidP="003B70BD">
      <w:pPr>
        <w:spacing w:line="256" w:lineRule="auto"/>
        <w:rPr>
          <w:rFonts w:ascii="Abadi" w:eastAsia="Aptos" w:hAnsi="Abadi" w:cs="Times New Roman"/>
          <w:sz w:val="28"/>
          <w:szCs w:val="28"/>
        </w:rPr>
      </w:pPr>
      <w:r w:rsidRPr="003B70BD">
        <w:rPr>
          <w:rFonts w:ascii="Abadi" w:eastAsia="Aptos" w:hAnsi="Abadi" w:cs="Times New Roman"/>
          <w:kern w:val="0"/>
          <w:sz w:val="28"/>
          <w:szCs w:val="28"/>
          <w14:ligatures w14:val="none"/>
        </w:rPr>
        <w:br w:type="page"/>
      </w:r>
    </w:p>
    <w:p w14:paraId="5CF68429" w14:textId="77777777" w:rsidR="003B70BD" w:rsidRPr="003B70BD" w:rsidRDefault="003B70BD" w:rsidP="003B70BD">
      <w:pPr>
        <w:spacing w:line="256" w:lineRule="auto"/>
        <w:rPr>
          <w:rFonts w:ascii="Abadi" w:eastAsia="Aptos" w:hAnsi="Abadi" w:cs="Times New Roman"/>
          <w:b/>
          <w:bCs/>
          <w:sz w:val="28"/>
          <w:szCs w:val="28"/>
        </w:rPr>
      </w:pPr>
      <w:r w:rsidRPr="003B70BD">
        <w:rPr>
          <w:rFonts w:ascii="Abadi" w:eastAsia="Aptos" w:hAnsi="Abadi" w:cs="Times New Roman"/>
          <w:b/>
          <w:bCs/>
          <w:sz w:val="28"/>
          <w:szCs w:val="28"/>
        </w:rPr>
        <w:lastRenderedPageBreak/>
        <w:t>Moderator's Summary</w:t>
      </w:r>
    </w:p>
    <w:p w14:paraId="7838FBCC" w14:textId="77777777" w:rsidR="003B70BD" w:rsidRPr="003B70BD" w:rsidRDefault="003B70BD" w:rsidP="003B70BD">
      <w:pPr>
        <w:spacing w:line="256" w:lineRule="auto"/>
        <w:rPr>
          <w:rFonts w:ascii="Abadi" w:eastAsia="Aptos" w:hAnsi="Abadi" w:cs="Times New Roman"/>
          <w:sz w:val="28"/>
          <w:szCs w:val="28"/>
        </w:rPr>
      </w:pPr>
      <w:r w:rsidRPr="003B70BD">
        <w:rPr>
          <w:rFonts w:ascii="Abadi" w:eastAsia="Aptos" w:hAnsi="Abadi" w:cs="Times New Roman"/>
          <w:sz w:val="28"/>
          <w:szCs w:val="28"/>
        </w:rPr>
        <w:t xml:space="preserve">The debate on maintaining high admission standards versus adopting open access policies for Gaza’s universities highlights the tension between ensuring academic excellence and promoting inclusivity. Advocate A emphasized the importance of high admission standards for maintaining the quality of education, ensuring students are well-prepared, and efficiently using limited resources. This approach is seen as vital for producing highly skilled graduates who can contribute to Gaza’s long-term development. </w:t>
      </w:r>
    </w:p>
    <w:p w14:paraId="3D20B852" w14:textId="77777777" w:rsidR="003B70BD" w:rsidRPr="003B70BD" w:rsidRDefault="003B70BD" w:rsidP="003B70BD">
      <w:pPr>
        <w:spacing w:line="256" w:lineRule="auto"/>
        <w:rPr>
          <w:rFonts w:ascii="Abadi" w:eastAsia="Aptos" w:hAnsi="Abadi" w:cs="Times New Roman"/>
          <w:sz w:val="28"/>
          <w:szCs w:val="28"/>
        </w:rPr>
      </w:pPr>
      <w:r w:rsidRPr="003B70BD">
        <w:rPr>
          <w:rFonts w:ascii="Abadi" w:eastAsia="Aptos" w:hAnsi="Abadi" w:cs="Times New Roman"/>
          <w:sz w:val="28"/>
          <w:szCs w:val="28"/>
        </w:rPr>
        <w:t>On the other hand, Advocate B stressed the necessity of open access to address the educational needs of those affected by Israel's war in Gaza, promoting social equity, and fostering community rebuilding. Open access policies provide opportunities to students whose education has been disrupted by the occupation and military actions, helping to bridge social divides and develop a diverse and adaptable workforce. Both perspectives underscore the importance of balancing academic rigor with inclusivity to ensure that Gaza’s universities can provide quality education while addressing the unique challenges faced by the community. A hybrid approach that incorporates supportive measures for underprepared students alongside maintaining high standards could offer a comprehensive solution that meets both immediate and long-term educational goals.</w:t>
      </w:r>
    </w:p>
    <w:p w14:paraId="2B4BFB54" w14:textId="77777777" w:rsidR="003B70BD" w:rsidRPr="003B70BD" w:rsidRDefault="003B70BD" w:rsidP="003B70BD">
      <w:pPr>
        <w:spacing w:line="256" w:lineRule="auto"/>
        <w:rPr>
          <w:rFonts w:ascii="Abadi" w:eastAsia="Aptos" w:hAnsi="Abadi" w:cs="Times New Roman"/>
          <w:sz w:val="28"/>
          <w:szCs w:val="28"/>
        </w:rPr>
      </w:pPr>
    </w:p>
    <w:p w14:paraId="1CF5A1AE" w14:textId="77777777" w:rsidR="003B70BD" w:rsidRPr="003B70BD" w:rsidRDefault="003B70BD" w:rsidP="003B70BD">
      <w:pPr>
        <w:spacing w:line="256" w:lineRule="auto"/>
        <w:rPr>
          <w:rFonts w:ascii="Abadi" w:eastAsia="Aptos" w:hAnsi="Abadi" w:cs="Times New Roman"/>
          <w:b/>
          <w:bCs/>
          <w:sz w:val="28"/>
          <w:szCs w:val="28"/>
        </w:rPr>
      </w:pPr>
      <w:r w:rsidRPr="003B70BD">
        <w:rPr>
          <w:rFonts w:ascii="Abadi" w:eastAsia="Aptos" w:hAnsi="Abadi" w:cs="Times New Roman"/>
          <w:b/>
          <w:bCs/>
          <w:sz w:val="28"/>
          <w:szCs w:val="28"/>
        </w:rPr>
        <w:t>Reflective Questions for Further Consideration</w:t>
      </w:r>
    </w:p>
    <w:p w14:paraId="164853B9" w14:textId="77777777" w:rsidR="003B70BD" w:rsidRPr="003B70BD" w:rsidRDefault="003B70BD" w:rsidP="003B70BD">
      <w:pPr>
        <w:numPr>
          <w:ilvl w:val="0"/>
          <w:numId w:val="36"/>
        </w:numPr>
        <w:spacing w:line="256" w:lineRule="auto"/>
        <w:rPr>
          <w:rFonts w:ascii="Abadi" w:eastAsia="Aptos" w:hAnsi="Abadi" w:cs="Times New Roman"/>
          <w:sz w:val="28"/>
          <w:szCs w:val="28"/>
        </w:rPr>
      </w:pPr>
      <w:r w:rsidRPr="003B70BD">
        <w:rPr>
          <w:rFonts w:ascii="Abadi" w:eastAsia="Aptos" w:hAnsi="Abadi" w:cs="Times New Roman"/>
          <w:sz w:val="28"/>
          <w:szCs w:val="28"/>
        </w:rPr>
        <w:t>How can Gaza’s universities balance high admission standards with the need for open access to education?</w:t>
      </w:r>
    </w:p>
    <w:p w14:paraId="6FC0ACEE" w14:textId="77777777" w:rsidR="003B70BD" w:rsidRPr="003B70BD" w:rsidRDefault="003B70BD" w:rsidP="003B70BD">
      <w:pPr>
        <w:numPr>
          <w:ilvl w:val="0"/>
          <w:numId w:val="36"/>
        </w:numPr>
        <w:spacing w:line="256" w:lineRule="auto"/>
        <w:rPr>
          <w:rFonts w:ascii="Abadi" w:eastAsia="Aptos" w:hAnsi="Abadi" w:cs="Times New Roman"/>
          <w:sz w:val="28"/>
          <w:szCs w:val="28"/>
        </w:rPr>
      </w:pPr>
      <w:r w:rsidRPr="003B70BD">
        <w:rPr>
          <w:rFonts w:ascii="Abadi" w:eastAsia="Aptos" w:hAnsi="Abadi" w:cs="Times New Roman"/>
          <w:sz w:val="28"/>
          <w:szCs w:val="28"/>
        </w:rPr>
        <w:t>What support systems can be implemented to help students who are admitted through open access succeed academically?</w:t>
      </w:r>
    </w:p>
    <w:p w14:paraId="4DB726AA" w14:textId="77777777" w:rsidR="003B70BD" w:rsidRPr="003B70BD" w:rsidRDefault="003B70BD" w:rsidP="003B70BD">
      <w:pPr>
        <w:numPr>
          <w:ilvl w:val="0"/>
          <w:numId w:val="36"/>
        </w:numPr>
        <w:spacing w:line="256" w:lineRule="auto"/>
        <w:rPr>
          <w:rFonts w:ascii="Abadi" w:eastAsia="Aptos" w:hAnsi="Abadi" w:cs="Times New Roman"/>
          <w:sz w:val="28"/>
          <w:szCs w:val="28"/>
        </w:rPr>
      </w:pPr>
      <w:r w:rsidRPr="003B70BD">
        <w:rPr>
          <w:rFonts w:ascii="Abadi" w:eastAsia="Aptos" w:hAnsi="Abadi" w:cs="Times New Roman"/>
          <w:sz w:val="28"/>
          <w:szCs w:val="28"/>
        </w:rPr>
        <w:t>How can inclusive education policies contribute to the social and economic rebuilding of Gaza?</w:t>
      </w:r>
    </w:p>
    <w:p w14:paraId="06531982" w14:textId="77777777" w:rsidR="003B70BD" w:rsidRPr="003B70BD" w:rsidRDefault="003B70BD" w:rsidP="003B70BD">
      <w:pPr>
        <w:spacing w:line="256" w:lineRule="auto"/>
        <w:rPr>
          <w:rFonts w:ascii="Abadi" w:eastAsia="Aptos" w:hAnsi="Abadi" w:cs="Times New Roman"/>
          <w:sz w:val="28"/>
          <w:szCs w:val="28"/>
        </w:rPr>
      </w:pPr>
      <w:r w:rsidRPr="003B70BD">
        <w:rPr>
          <w:rFonts w:ascii="Abadi" w:eastAsia="Aptos" w:hAnsi="Abadi" w:cs="Times New Roman"/>
          <w:kern w:val="0"/>
          <w:sz w:val="28"/>
          <w:szCs w:val="28"/>
          <w14:ligatures w14:val="none"/>
        </w:rPr>
        <w:br w:type="page"/>
      </w:r>
    </w:p>
    <w:p w14:paraId="3D064A39" w14:textId="77777777" w:rsidR="003B70BD" w:rsidRPr="003B70BD" w:rsidRDefault="003B70BD" w:rsidP="000A7DAB">
      <w:pPr>
        <w:pStyle w:val="Heading1"/>
        <w:pBdr>
          <w:bottom w:val="single" w:sz="4" w:space="1" w:color="auto"/>
        </w:pBdr>
        <w:rPr>
          <w:rFonts w:eastAsia="Times New Roman"/>
          <w:lang w:eastAsia="en-AE"/>
        </w:rPr>
      </w:pPr>
      <w:bookmarkStart w:id="27" w:name="_Toc172743811"/>
      <w:r w:rsidRPr="003B70BD">
        <w:rPr>
          <w:rFonts w:eastAsia="Times New Roman"/>
          <w:lang w:eastAsia="en-AE"/>
        </w:rPr>
        <w:lastRenderedPageBreak/>
        <w:t>Debate Topic 5: Student Activism vs. Academic Neutrality</w:t>
      </w:r>
      <w:bookmarkEnd w:id="27"/>
      <w:r w:rsidRPr="003B70BD">
        <w:rPr>
          <w:rFonts w:eastAsia="Times New Roman"/>
          <w:lang w:eastAsia="en-AE"/>
        </w:rPr>
        <w:br/>
      </w:r>
    </w:p>
    <w:p w14:paraId="355A36D0" w14:textId="77777777" w:rsidR="003B70BD" w:rsidRPr="003B70BD" w:rsidRDefault="003B70BD" w:rsidP="003B70BD">
      <w:pPr>
        <w:spacing w:line="256" w:lineRule="auto"/>
        <w:rPr>
          <w:rFonts w:ascii="Abadi" w:eastAsia="Aptos" w:hAnsi="Abadi" w:cs="Times New Roman"/>
          <w:b/>
          <w:bCs/>
          <w:sz w:val="28"/>
          <w:szCs w:val="28"/>
        </w:rPr>
      </w:pPr>
      <w:r w:rsidRPr="003B70BD">
        <w:rPr>
          <w:rFonts w:ascii="Abadi" w:eastAsia="Aptos" w:hAnsi="Abadi" w:cs="Times New Roman"/>
          <w:b/>
          <w:bCs/>
          <w:sz w:val="28"/>
          <w:szCs w:val="28"/>
        </w:rPr>
        <w:t>Debate Topic Overview</w:t>
      </w:r>
    </w:p>
    <w:p w14:paraId="60F595B0" w14:textId="77777777" w:rsidR="003B70BD" w:rsidRPr="003B70BD" w:rsidRDefault="003B70BD" w:rsidP="003B70BD">
      <w:pPr>
        <w:spacing w:line="256" w:lineRule="auto"/>
        <w:rPr>
          <w:rFonts w:ascii="Abadi" w:eastAsia="Aptos" w:hAnsi="Abadi" w:cs="Times New Roman"/>
          <w:sz w:val="28"/>
          <w:szCs w:val="28"/>
        </w:rPr>
      </w:pPr>
      <w:r w:rsidRPr="003B70BD">
        <w:rPr>
          <w:rFonts w:ascii="Abadi" w:eastAsia="Aptos" w:hAnsi="Abadi" w:cs="Times New Roman"/>
          <w:sz w:val="28"/>
          <w:szCs w:val="28"/>
        </w:rPr>
        <w:t>This debate addresses whether universities in Gaza should encourage student activism as a means of fostering political and social engagement or maintain academic neutrality to ensure an unbiased and focused educational environment. Advocates for student activism argue that it empowers students to address pressing social issues, promotes democratic values, and fosters a sense of agency and responsibility. Conversely, proponents of academic neutrality emphasize the importance of maintaining an unbiased academic atmosphere, where education remains the primary focus, and political or social biases do not influence academic activities.</w:t>
      </w:r>
    </w:p>
    <w:p w14:paraId="487C6FC2" w14:textId="77777777" w:rsidR="003B70BD" w:rsidRPr="003B70BD" w:rsidRDefault="003B70BD" w:rsidP="003B70BD">
      <w:pPr>
        <w:spacing w:line="256" w:lineRule="auto"/>
        <w:rPr>
          <w:rFonts w:ascii="Abadi" w:eastAsia="Aptos" w:hAnsi="Abadi" w:cs="Times New Roman"/>
          <w:sz w:val="28"/>
          <w:szCs w:val="28"/>
        </w:rPr>
      </w:pPr>
    </w:p>
    <w:p w14:paraId="68D831C0" w14:textId="77777777" w:rsidR="003B70BD" w:rsidRPr="003B70BD" w:rsidRDefault="003B70BD" w:rsidP="003B70BD">
      <w:pPr>
        <w:spacing w:line="256" w:lineRule="auto"/>
        <w:rPr>
          <w:rFonts w:ascii="Abadi" w:eastAsia="Aptos" w:hAnsi="Abadi" w:cs="Times New Roman"/>
          <w:b/>
          <w:bCs/>
          <w:sz w:val="28"/>
          <w:szCs w:val="28"/>
        </w:rPr>
      </w:pPr>
      <w:r w:rsidRPr="003B70BD">
        <w:rPr>
          <w:rFonts w:ascii="Abadi" w:eastAsia="Aptos" w:hAnsi="Abadi" w:cs="Times New Roman"/>
          <w:b/>
          <w:bCs/>
          <w:sz w:val="28"/>
          <w:szCs w:val="28"/>
        </w:rPr>
        <w:t>Moderator's Presentation</w:t>
      </w:r>
    </w:p>
    <w:p w14:paraId="48F98F81" w14:textId="77777777" w:rsidR="003B70BD" w:rsidRPr="003B70BD" w:rsidRDefault="003B70BD" w:rsidP="003B70BD">
      <w:pPr>
        <w:numPr>
          <w:ilvl w:val="0"/>
          <w:numId w:val="37"/>
        </w:numPr>
        <w:spacing w:line="256" w:lineRule="auto"/>
        <w:rPr>
          <w:rFonts w:ascii="Abadi" w:eastAsia="Aptos" w:hAnsi="Abadi" w:cs="Times New Roman"/>
          <w:sz w:val="28"/>
          <w:szCs w:val="28"/>
        </w:rPr>
      </w:pPr>
      <w:r w:rsidRPr="003B70BD">
        <w:rPr>
          <w:rFonts w:ascii="Abadi" w:eastAsia="Aptos" w:hAnsi="Abadi" w:cs="Times New Roman"/>
          <w:b/>
          <w:bCs/>
          <w:sz w:val="28"/>
          <w:szCs w:val="28"/>
        </w:rPr>
        <w:t>Historical Context of Student Activism in Gaza</w:t>
      </w:r>
      <w:r w:rsidRPr="003B70BD">
        <w:rPr>
          <w:rFonts w:ascii="Abadi" w:eastAsia="Aptos" w:hAnsi="Abadi" w:cs="Times New Roman"/>
          <w:sz w:val="28"/>
          <w:szCs w:val="28"/>
        </w:rPr>
        <w:t>: Student activism has played a significant role in Gaza, especially in the context of the occupation and military actions. Historically, students have been at the forefront of advocating for social and political change, often responding to the socio-political challenges imposed by external aggression.</w:t>
      </w:r>
    </w:p>
    <w:p w14:paraId="29033243" w14:textId="77777777" w:rsidR="003B70BD" w:rsidRPr="003B70BD" w:rsidRDefault="003B70BD" w:rsidP="003B70BD">
      <w:pPr>
        <w:numPr>
          <w:ilvl w:val="0"/>
          <w:numId w:val="37"/>
        </w:numPr>
        <w:spacing w:line="256" w:lineRule="auto"/>
        <w:rPr>
          <w:rFonts w:ascii="Abadi" w:eastAsia="Aptos" w:hAnsi="Abadi" w:cs="Times New Roman"/>
          <w:sz w:val="28"/>
          <w:szCs w:val="28"/>
        </w:rPr>
      </w:pPr>
      <w:r w:rsidRPr="003B70BD">
        <w:rPr>
          <w:rFonts w:ascii="Abadi" w:eastAsia="Aptos" w:hAnsi="Abadi" w:cs="Times New Roman"/>
          <w:b/>
          <w:bCs/>
          <w:sz w:val="28"/>
          <w:szCs w:val="28"/>
        </w:rPr>
        <w:t>Empowerment through Activism</w:t>
      </w:r>
      <w:r w:rsidRPr="003B70BD">
        <w:rPr>
          <w:rFonts w:ascii="Abadi" w:eastAsia="Aptos" w:hAnsi="Abadi" w:cs="Times New Roman"/>
          <w:sz w:val="28"/>
          <w:szCs w:val="28"/>
        </w:rPr>
        <w:t>: Encouraging student activism empowers students to engage with and address the pressing social and political issues affecting their lives. It fosters a sense of agency and responsibility, enabling students to become active participants in their communities. Research from the Journal of Youth Studies highlights that student activism promotes civic engagement and can lead to positive social change.</w:t>
      </w:r>
    </w:p>
    <w:p w14:paraId="7AAC0B7A" w14:textId="77777777" w:rsidR="003B70BD" w:rsidRPr="003B70BD" w:rsidRDefault="003B70BD" w:rsidP="003B70BD">
      <w:pPr>
        <w:numPr>
          <w:ilvl w:val="0"/>
          <w:numId w:val="37"/>
        </w:numPr>
        <w:spacing w:line="256" w:lineRule="auto"/>
        <w:rPr>
          <w:rFonts w:ascii="Abadi" w:eastAsia="Aptos" w:hAnsi="Abadi" w:cs="Times New Roman"/>
          <w:sz w:val="28"/>
          <w:szCs w:val="28"/>
        </w:rPr>
      </w:pPr>
      <w:r w:rsidRPr="003B70BD">
        <w:rPr>
          <w:rFonts w:ascii="Abadi" w:eastAsia="Aptos" w:hAnsi="Abadi" w:cs="Times New Roman"/>
          <w:b/>
          <w:bCs/>
          <w:sz w:val="28"/>
          <w:szCs w:val="28"/>
        </w:rPr>
        <w:t>Promoting Democratic Values</w:t>
      </w:r>
      <w:r w:rsidRPr="003B70BD">
        <w:rPr>
          <w:rFonts w:ascii="Abadi" w:eastAsia="Aptos" w:hAnsi="Abadi" w:cs="Times New Roman"/>
          <w:sz w:val="28"/>
          <w:szCs w:val="28"/>
        </w:rPr>
        <w:t xml:space="preserve">: Student activism is often associated with the promotion of democratic values such as freedom of expression, justice, and equality. In the context of Gaza, where political and social freedoms are constrained, activism provides a platform for students to advocate for their rights and those of their communities. According to the International Journal of Educational </w:t>
      </w:r>
      <w:r w:rsidRPr="003B70BD">
        <w:rPr>
          <w:rFonts w:ascii="Abadi" w:eastAsia="Aptos" w:hAnsi="Abadi" w:cs="Times New Roman"/>
          <w:sz w:val="28"/>
          <w:szCs w:val="28"/>
        </w:rPr>
        <w:lastRenderedPageBreak/>
        <w:t>Development, student activism is a critical component of democratic societies, fostering critical thinking and active citizenship.</w:t>
      </w:r>
    </w:p>
    <w:p w14:paraId="3541510A" w14:textId="77777777" w:rsidR="003B70BD" w:rsidRPr="003B70BD" w:rsidRDefault="003B70BD" w:rsidP="003B70BD">
      <w:pPr>
        <w:numPr>
          <w:ilvl w:val="0"/>
          <w:numId w:val="37"/>
        </w:numPr>
        <w:spacing w:line="256" w:lineRule="auto"/>
        <w:rPr>
          <w:rFonts w:ascii="Abadi" w:eastAsia="Aptos" w:hAnsi="Abadi" w:cs="Times New Roman"/>
          <w:sz w:val="28"/>
          <w:szCs w:val="28"/>
        </w:rPr>
      </w:pPr>
      <w:r w:rsidRPr="003B70BD">
        <w:rPr>
          <w:rFonts w:ascii="Abadi" w:eastAsia="Aptos" w:hAnsi="Abadi" w:cs="Times New Roman"/>
          <w:b/>
          <w:bCs/>
          <w:sz w:val="28"/>
          <w:szCs w:val="28"/>
        </w:rPr>
        <w:t>Addressing Social Issues</w:t>
      </w:r>
      <w:r w:rsidRPr="003B70BD">
        <w:rPr>
          <w:rFonts w:ascii="Abadi" w:eastAsia="Aptos" w:hAnsi="Abadi" w:cs="Times New Roman"/>
          <w:sz w:val="28"/>
          <w:szCs w:val="28"/>
        </w:rPr>
        <w:t>: Activism allows students to directly address and influence social issues such as human rights, gender equality, and environmental sustainability. In a region heavily affected by occupation and military actions, student activism can bring attention to these issues and mobilize efforts for change. The United Nations Development Programme (UNDP) underscores the role of youth activism in promoting sustainable development and social justice.</w:t>
      </w:r>
    </w:p>
    <w:p w14:paraId="25CEC114" w14:textId="77777777" w:rsidR="003B70BD" w:rsidRPr="003B70BD" w:rsidRDefault="003B70BD" w:rsidP="003B70BD">
      <w:pPr>
        <w:numPr>
          <w:ilvl w:val="0"/>
          <w:numId w:val="37"/>
        </w:numPr>
        <w:spacing w:line="256" w:lineRule="auto"/>
        <w:rPr>
          <w:rFonts w:ascii="Abadi" w:eastAsia="Aptos" w:hAnsi="Abadi" w:cs="Times New Roman"/>
          <w:sz w:val="28"/>
          <w:szCs w:val="28"/>
        </w:rPr>
      </w:pPr>
      <w:r w:rsidRPr="003B70BD">
        <w:rPr>
          <w:rFonts w:ascii="Abadi" w:eastAsia="Aptos" w:hAnsi="Abadi" w:cs="Times New Roman"/>
          <w:b/>
          <w:bCs/>
          <w:sz w:val="28"/>
          <w:szCs w:val="28"/>
        </w:rPr>
        <w:t>Potential Risks and Challenges of Activism</w:t>
      </w:r>
      <w:r w:rsidRPr="003B70BD">
        <w:rPr>
          <w:rFonts w:ascii="Abadi" w:eastAsia="Aptos" w:hAnsi="Abadi" w:cs="Times New Roman"/>
          <w:sz w:val="28"/>
          <w:szCs w:val="28"/>
        </w:rPr>
        <w:t>: While student activism has many benefits, it also poses risks and challenges. Activism can lead to political polarization and may disrupt academic activities. There is also the risk of students facing repression or persecution due to their political engagement. The Journal of Educational Policy notes that universities need to manage these risks carefully to protect students and maintain a conducive learning environment.</w:t>
      </w:r>
    </w:p>
    <w:p w14:paraId="07D1EAF2" w14:textId="77777777" w:rsidR="003B70BD" w:rsidRPr="003B70BD" w:rsidRDefault="003B70BD" w:rsidP="003B70BD">
      <w:pPr>
        <w:numPr>
          <w:ilvl w:val="0"/>
          <w:numId w:val="37"/>
        </w:numPr>
        <w:spacing w:line="256" w:lineRule="auto"/>
        <w:rPr>
          <w:rFonts w:ascii="Abadi" w:eastAsia="Aptos" w:hAnsi="Abadi" w:cs="Times New Roman"/>
          <w:sz w:val="28"/>
          <w:szCs w:val="28"/>
        </w:rPr>
      </w:pPr>
      <w:r w:rsidRPr="003B70BD">
        <w:rPr>
          <w:rFonts w:ascii="Abadi" w:eastAsia="Aptos" w:hAnsi="Abadi" w:cs="Times New Roman"/>
          <w:b/>
          <w:bCs/>
          <w:sz w:val="28"/>
          <w:szCs w:val="28"/>
        </w:rPr>
        <w:t>Academic Neutrality and Focused Education</w:t>
      </w:r>
      <w:r w:rsidRPr="003B70BD">
        <w:rPr>
          <w:rFonts w:ascii="Abadi" w:eastAsia="Aptos" w:hAnsi="Abadi" w:cs="Times New Roman"/>
          <w:sz w:val="28"/>
          <w:szCs w:val="28"/>
        </w:rPr>
        <w:t>: Proponents of academic neutrality argue that universities should maintain an unbiased academic atmosphere where the primary focus is on education. This neutrality ensures that academic activities are not influenced by political or social biases, allowing students to pursue their studies without external pressures. Research from the Chronicle of Higher Education indicates that academic neutrality can help maintain academic integrity and focus.</w:t>
      </w:r>
    </w:p>
    <w:p w14:paraId="1B2EEEC1" w14:textId="77777777" w:rsidR="003B70BD" w:rsidRPr="003B70BD" w:rsidRDefault="003B70BD" w:rsidP="003B70BD">
      <w:pPr>
        <w:numPr>
          <w:ilvl w:val="0"/>
          <w:numId w:val="37"/>
        </w:numPr>
        <w:spacing w:line="256" w:lineRule="auto"/>
        <w:rPr>
          <w:rFonts w:ascii="Abadi" w:eastAsia="Aptos" w:hAnsi="Abadi" w:cs="Times New Roman"/>
          <w:sz w:val="28"/>
          <w:szCs w:val="28"/>
        </w:rPr>
      </w:pPr>
      <w:r w:rsidRPr="003B70BD">
        <w:rPr>
          <w:rFonts w:ascii="Abadi" w:eastAsia="Aptos" w:hAnsi="Abadi" w:cs="Times New Roman"/>
          <w:b/>
          <w:bCs/>
          <w:sz w:val="28"/>
          <w:szCs w:val="28"/>
        </w:rPr>
        <w:t>Protecting Academic Freedom</w:t>
      </w:r>
      <w:r w:rsidRPr="003B70BD">
        <w:rPr>
          <w:rFonts w:ascii="Abadi" w:eastAsia="Aptos" w:hAnsi="Abadi" w:cs="Times New Roman"/>
          <w:sz w:val="28"/>
          <w:szCs w:val="28"/>
        </w:rPr>
        <w:t xml:space="preserve">: Maintaining academic neutrality is seen </w:t>
      </w:r>
      <w:proofErr w:type="gramStart"/>
      <w:r w:rsidRPr="003B70BD">
        <w:rPr>
          <w:rFonts w:ascii="Abadi" w:eastAsia="Aptos" w:hAnsi="Abadi" w:cs="Times New Roman"/>
          <w:sz w:val="28"/>
          <w:szCs w:val="28"/>
        </w:rPr>
        <w:t>as a way to</w:t>
      </w:r>
      <w:proofErr w:type="gramEnd"/>
      <w:r w:rsidRPr="003B70BD">
        <w:rPr>
          <w:rFonts w:ascii="Abadi" w:eastAsia="Aptos" w:hAnsi="Abadi" w:cs="Times New Roman"/>
          <w:sz w:val="28"/>
          <w:szCs w:val="28"/>
        </w:rPr>
        <w:t xml:space="preserve"> protect academic freedom, ensuring that education remains free from external influences. This freedom is crucial for fostering a diverse and inclusive academic environment where all viewpoints can be explored and discussed. The American Association of University Professors (AAUP) highlights the importance of academic freedom in promoting scholarly inquiry and intellectual diversity.</w:t>
      </w:r>
    </w:p>
    <w:p w14:paraId="728A155D" w14:textId="77777777" w:rsidR="003B70BD" w:rsidRPr="003B70BD" w:rsidRDefault="003B70BD" w:rsidP="003B70BD">
      <w:pPr>
        <w:numPr>
          <w:ilvl w:val="0"/>
          <w:numId w:val="37"/>
        </w:numPr>
        <w:spacing w:line="256" w:lineRule="auto"/>
        <w:rPr>
          <w:rFonts w:ascii="Abadi" w:eastAsia="Aptos" w:hAnsi="Abadi" w:cs="Times New Roman"/>
          <w:sz w:val="28"/>
          <w:szCs w:val="28"/>
        </w:rPr>
      </w:pPr>
      <w:r w:rsidRPr="003B70BD">
        <w:rPr>
          <w:rFonts w:ascii="Abadi" w:eastAsia="Aptos" w:hAnsi="Abadi" w:cs="Times New Roman"/>
          <w:b/>
          <w:bCs/>
          <w:sz w:val="28"/>
          <w:szCs w:val="28"/>
        </w:rPr>
        <w:t>Balancing Activism and Neutrality</w:t>
      </w:r>
      <w:r w:rsidRPr="003B70BD">
        <w:rPr>
          <w:rFonts w:ascii="Abadi" w:eastAsia="Aptos" w:hAnsi="Abadi" w:cs="Times New Roman"/>
          <w:sz w:val="28"/>
          <w:szCs w:val="28"/>
        </w:rPr>
        <w:t>: The challenge lies in finding a balance between encouraging student activism and maintaining academic neutrality. Some universities adopt a hybrid approach, supporting student-led initiatives while ensuring that academic activities remain focused and unbiased. This balance can promote both active citizenship and academic excellence.</w:t>
      </w:r>
    </w:p>
    <w:p w14:paraId="366273EB" w14:textId="77777777" w:rsidR="003B70BD" w:rsidRPr="003B70BD" w:rsidRDefault="003B70BD" w:rsidP="003B70BD">
      <w:pPr>
        <w:numPr>
          <w:ilvl w:val="0"/>
          <w:numId w:val="37"/>
        </w:numPr>
        <w:spacing w:line="256" w:lineRule="auto"/>
        <w:rPr>
          <w:rFonts w:ascii="Abadi" w:eastAsia="Aptos" w:hAnsi="Abadi" w:cs="Times New Roman"/>
          <w:sz w:val="28"/>
          <w:szCs w:val="28"/>
        </w:rPr>
      </w:pPr>
      <w:r w:rsidRPr="003B70BD">
        <w:rPr>
          <w:rFonts w:ascii="Abadi" w:eastAsia="Aptos" w:hAnsi="Abadi" w:cs="Times New Roman"/>
          <w:b/>
          <w:bCs/>
          <w:sz w:val="28"/>
          <w:szCs w:val="28"/>
        </w:rPr>
        <w:lastRenderedPageBreak/>
        <w:t>Case Studies and Comparative Analysis</w:t>
      </w:r>
      <w:r w:rsidRPr="003B70BD">
        <w:rPr>
          <w:rFonts w:ascii="Abadi" w:eastAsia="Aptos" w:hAnsi="Abadi" w:cs="Times New Roman"/>
          <w:sz w:val="28"/>
          <w:szCs w:val="28"/>
        </w:rPr>
        <w:t>: Examining other regions, such as South Africa and Northern Ireland, where student activism has played a significant role in social and political change, can provide valuable insights for Gaza. These regions have managed to balance activism and academic neutrality, fostering environments where students can engage in meaningful activism without compromising academic integrity.</w:t>
      </w:r>
    </w:p>
    <w:p w14:paraId="7A05BDD5" w14:textId="77777777" w:rsidR="003B70BD" w:rsidRPr="003B70BD" w:rsidRDefault="003B70BD" w:rsidP="003B70BD">
      <w:pPr>
        <w:numPr>
          <w:ilvl w:val="0"/>
          <w:numId w:val="37"/>
        </w:numPr>
        <w:spacing w:line="256" w:lineRule="auto"/>
        <w:rPr>
          <w:rFonts w:ascii="Abadi" w:eastAsia="Aptos" w:hAnsi="Abadi" w:cs="Times New Roman"/>
          <w:sz w:val="28"/>
          <w:szCs w:val="28"/>
        </w:rPr>
      </w:pPr>
      <w:r w:rsidRPr="003B70BD">
        <w:rPr>
          <w:rFonts w:ascii="Abadi" w:eastAsia="Aptos" w:hAnsi="Abadi" w:cs="Times New Roman"/>
          <w:b/>
          <w:bCs/>
          <w:sz w:val="28"/>
          <w:szCs w:val="28"/>
        </w:rPr>
        <w:t>Stakeholder Perspectives</w:t>
      </w:r>
      <w:r w:rsidRPr="003B70BD">
        <w:rPr>
          <w:rFonts w:ascii="Abadi" w:eastAsia="Aptos" w:hAnsi="Abadi" w:cs="Times New Roman"/>
          <w:sz w:val="28"/>
          <w:szCs w:val="28"/>
        </w:rPr>
        <w:t>: Engaging with various stakeholders, including faculty, students, educational authorities, and community leaders, is crucial in shaping policies that balance student activism and academic neutrality. Their input can guide the development of strategies that support both educational goals and civic engagement.</w:t>
      </w:r>
    </w:p>
    <w:p w14:paraId="49508ED0" w14:textId="77777777" w:rsidR="003B70BD" w:rsidRPr="003B70BD" w:rsidRDefault="003B70BD" w:rsidP="003B70BD">
      <w:pPr>
        <w:spacing w:line="256" w:lineRule="auto"/>
        <w:rPr>
          <w:rFonts w:ascii="Abadi" w:eastAsia="Aptos" w:hAnsi="Abadi" w:cs="Times New Roman"/>
          <w:sz w:val="28"/>
          <w:szCs w:val="28"/>
        </w:rPr>
      </w:pPr>
    </w:p>
    <w:p w14:paraId="328393E9" w14:textId="77777777" w:rsidR="003B70BD" w:rsidRPr="003B70BD" w:rsidRDefault="003B70BD" w:rsidP="003B70BD">
      <w:pPr>
        <w:spacing w:line="256" w:lineRule="auto"/>
        <w:rPr>
          <w:rFonts w:ascii="Abadi" w:eastAsia="Aptos" w:hAnsi="Abadi" w:cs="Times New Roman"/>
          <w:b/>
          <w:bCs/>
          <w:sz w:val="28"/>
          <w:szCs w:val="28"/>
        </w:rPr>
      </w:pPr>
      <w:r w:rsidRPr="003B70BD">
        <w:rPr>
          <w:rFonts w:ascii="Abadi" w:eastAsia="Aptos" w:hAnsi="Abadi" w:cs="Times New Roman"/>
          <w:b/>
          <w:bCs/>
          <w:sz w:val="28"/>
          <w:szCs w:val="28"/>
        </w:rPr>
        <w:t>Advocate A Presentation: In Support of Student Activism</w:t>
      </w:r>
    </w:p>
    <w:p w14:paraId="7CCE1D05" w14:textId="77777777" w:rsidR="003B70BD" w:rsidRPr="003B70BD" w:rsidRDefault="003B70BD" w:rsidP="003B70BD">
      <w:pPr>
        <w:spacing w:line="256" w:lineRule="auto"/>
        <w:rPr>
          <w:rFonts w:ascii="Abadi" w:eastAsia="Aptos" w:hAnsi="Abadi" w:cs="Times New Roman"/>
          <w:sz w:val="28"/>
          <w:szCs w:val="28"/>
        </w:rPr>
      </w:pPr>
      <w:r w:rsidRPr="003B70BD">
        <w:rPr>
          <w:rFonts w:ascii="Abadi" w:eastAsia="Aptos" w:hAnsi="Abadi" w:cs="Times New Roman"/>
          <w:sz w:val="28"/>
          <w:szCs w:val="28"/>
        </w:rPr>
        <w:t>Encouraging student activism in Gaza’s universities is crucial for fostering political and social engagement, empowering students, and promoting democratic values. Here are five detailed and research-backed points supporting this view:</w:t>
      </w:r>
    </w:p>
    <w:p w14:paraId="0A3C3EAF" w14:textId="77777777" w:rsidR="003B70BD" w:rsidRPr="003B70BD" w:rsidRDefault="003B70BD" w:rsidP="003B70BD">
      <w:pPr>
        <w:numPr>
          <w:ilvl w:val="0"/>
          <w:numId w:val="38"/>
        </w:numPr>
        <w:spacing w:line="256" w:lineRule="auto"/>
        <w:rPr>
          <w:rFonts w:ascii="Abadi" w:eastAsia="Aptos" w:hAnsi="Abadi" w:cs="Times New Roman"/>
          <w:sz w:val="28"/>
          <w:szCs w:val="28"/>
        </w:rPr>
      </w:pPr>
      <w:r w:rsidRPr="003B70BD">
        <w:rPr>
          <w:rFonts w:ascii="Abadi" w:eastAsia="Aptos" w:hAnsi="Abadi" w:cs="Times New Roman"/>
          <w:b/>
          <w:bCs/>
          <w:sz w:val="28"/>
          <w:szCs w:val="28"/>
        </w:rPr>
        <w:t>Empowering Students and Building Leadership Skills</w:t>
      </w:r>
      <w:r w:rsidRPr="003B70BD">
        <w:rPr>
          <w:rFonts w:ascii="Abadi" w:eastAsia="Aptos" w:hAnsi="Abadi" w:cs="Times New Roman"/>
          <w:sz w:val="28"/>
          <w:szCs w:val="28"/>
        </w:rPr>
        <w:t>: Student activism empowers students by giving them a platform to voice their concerns, advocate for change, and develop leadership skills. This empowerment is particularly important in Gaza, where young people face numerous challenges due to the occupation and military actions. Research from the Journal of Youth Studies shows that involvement in activism helps students build confidence, develop critical thinking, and enhance their ability to lead and organize.</w:t>
      </w:r>
    </w:p>
    <w:p w14:paraId="443D6869" w14:textId="77777777" w:rsidR="003B70BD" w:rsidRPr="003B70BD" w:rsidRDefault="003B70BD" w:rsidP="003B70BD">
      <w:pPr>
        <w:numPr>
          <w:ilvl w:val="0"/>
          <w:numId w:val="38"/>
        </w:numPr>
        <w:spacing w:line="256" w:lineRule="auto"/>
        <w:rPr>
          <w:rFonts w:ascii="Abadi" w:eastAsia="Aptos" w:hAnsi="Abadi" w:cs="Times New Roman"/>
          <w:sz w:val="28"/>
          <w:szCs w:val="28"/>
        </w:rPr>
      </w:pPr>
      <w:r w:rsidRPr="003B70BD">
        <w:rPr>
          <w:rFonts w:ascii="Abadi" w:eastAsia="Aptos" w:hAnsi="Abadi" w:cs="Times New Roman"/>
          <w:b/>
          <w:bCs/>
          <w:sz w:val="28"/>
          <w:szCs w:val="28"/>
        </w:rPr>
        <w:t>Promoting Democratic Values and Civic Engagement</w:t>
      </w:r>
      <w:r w:rsidRPr="003B70BD">
        <w:rPr>
          <w:rFonts w:ascii="Abadi" w:eastAsia="Aptos" w:hAnsi="Abadi" w:cs="Times New Roman"/>
          <w:sz w:val="28"/>
          <w:szCs w:val="28"/>
        </w:rPr>
        <w:t>: Activism fosters a culture of democratic engagement, encouraging students to participate in civic life and advocate for their rights and those of their communities. In a context where political freedoms are limited, student activism provides a vital outlet for democratic expression. The International Journal of Educational Development highlights that student activism promotes democratic values such as freedom of speech, justice, and equality, which are essential for building a fair and inclusive society.</w:t>
      </w:r>
    </w:p>
    <w:p w14:paraId="02DB5DC3" w14:textId="77777777" w:rsidR="003B70BD" w:rsidRPr="003B70BD" w:rsidRDefault="003B70BD" w:rsidP="003B70BD">
      <w:pPr>
        <w:numPr>
          <w:ilvl w:val="0"/>
          <w:numId w:val="38"/>
        </w:numPr>
        <w:spacing w:line="256" w:lineRule="auto"/>
        <w:rPr>
          <w:rFonts w:ascii="Abadi" w:eastAsia="Aptos" w:hAnsi="Abadi" w:cs="Times New Roman"/>
          <w:sz w:val="28"/>
          <w:szCs w:val="28"/>
        </w:rPr>
      </w:pPr>
      <w:r w:rsidRPr="003B70BD">
        <w:rPr>
          <w:rFonts w:ascii="Abadi" w:eastAsia="Aptos" w:hAnsi="Abadi" w:cs="Times New Roman"/>
          <w:b/>
          <w:bCs/>
          <w:sz w:val="28"/>
          <w:szCs w:val="28"/>
        </w:rPr>
        <w:t>Addressing and Raising Awareness of Social Issues</w:t>
      </w:r>
      <w:r w:rsidRPr="003B70BD">
        <w:rPr>
          <w:rFonts w:ascii="Abadi" w:eastAsia="Aptos" w:hAnsi="Abadi" w:cs="Times New Roman"/>
          <w:sz w:val="28"/>
          <w:szCs w:val="28"/>
        </w:rPr>
        <w:t xml:space="preserve">: Student activism plays a key role in addressing and raising awareness of critical social </w:t>
      </w:r>
      <w:r w:rsidRPr="003B70BD">
        <w:rPr>
          <w:rFonts w:ascii="Abadi" w:eastAsia="Aptos" w:hAnsi="Abadi" w:cs="Times New Roman"/>
          <w:sz w:val="28"/>
          <w:szCs w:val="28"/>
        </w:rPr>
        <w:lastRenderedPageBreak/>
        <w:t>issues such as human rights, gender equality, and environmental sustainability. In Gaza, where these issues are exacerbated by the occupation and military actions, student activists can bring attention to these problems and mobilize efforts for change. According to the United Nations Development Programme (UNDP), youth activism is instrumental in promoting social justice and sustainable development.</w:t>
      </w:r>
    </w:p>
    <w:p w14:paraId="34A8BE9C" w14:textId="77777777" w:rsidR="003B70BD" w:rsidRPr="003B70BD" w:rsidRDefault="003B70BD" w:rsidP="003B70BD">
      <w:pPr>
        <w:numPr>
          <w:ilvl w:val="0"/>
          <w:numId w:val="38"/>
        </w:numPr>
        <w:spacing w:line="256" w:lineRule="auto"/>
        <w:rPr>
          <w:rFonts w:ascii="Abadi" w:eastAsia="Aptos" w:hAnsi="Abadi" w:cs="Times New Roman"/>
          <w:sz w:val="28"/>
          <w:szCs w:val="28"/>
        </w:rPr>
      </w:pPr>
      <w:r w:rsidRPr="003B70BD">
        <w:rPr>
          <w:rFonts w:ascii="Abadi" w:eastAsia="Aptos" w:hAnsi="Abadi" w:cs="Times New Roman"/>
          <w:b/>
          <w:bCs/>
          <w:sz w:val="28"/>
          <w:szCs w:val="28"/>
        </w:rPr>
        <w:t>Fostering a Sense of Agency and Responsibility</w:t>
      </w:r>
      <w:r w:rsidRPr="003B70BD">
        <w:rPr>
          <w:rFonts w:ascii="Abadi" w:eastAsia="Aptos" w:hAnsi="Abadi" w:cs="Times New Roman"/>
          <w:sz w:val="28"/>
          <w:szCs w:val="28"/>
        </w:rPr>
        <w:t>: By participating in activism, students develop a sense of agency and responsibility, recognizing their potential to effect change in their communities. This involvement helps students understand the impact of their actions and fosters a commitment to civic duty. The Journal of Community Psychology notes that student activism contributes to the development of active, engaged citizens who are committed to improving their societies.</w:t>
      </w:r>
    </w:p>
    <w:p w14:paraId="48A52610" w14:textId="77777777" w:rsidR="003B70BD" w:rsidRPr="003B70BD" w:rsidRDefault="003B70BD" w:rsidP="003B70BD">
      <w:pPr>
        <w:numPr>
          <w:ilvl w:val="0"/>
          <w:numId w:val="38"/>
        </w:numPr>
        <w:spacing w:line="256" w:lineRule="auto"/>
        <w:rPr>
          <w:rFonts w:ascii="Abadi" w:eastAsia="Aptos" w:hAnsi="Abadi" w:cs="Times New Roman"/>
          <w:sz w:val="28"/>
          <w:szCs w:val="28"/>
        </w:rPr>
      </w:pPr>
      <w:r w:rsidRPr="003B70BD">
        <w:rPr>
          <w:rFonts w:ascii="Abadi" w:eastAsia="Aptos" w:hAnsi="Abadi" w:cs="Times New Roman"/>
          <w:b/>
          <w:bCs/>
          <w:sz w:val="28"/>
          <w:szCs w:val="28"/>
        </w:rPr>
        <w:t>Creating a Supportive Community and Network</w:t>
      </w:r>
      <w:r w:rsidRPr="003B70BD">
        <w:rPr>
          <w:rFonts w:ascii="Abadi" w:eastAsia="Aptos" w:hAnsi="Abadi" w:cs="Times New Roman"/>
          <w:sz w:val="28"/>
          <w:szCs w:val="28"/>
        </w:rPr>
        <w:t>: Student activism helps build a supportive community and network among students, faculty, and external organizations. These networks can provide resources, support, and collaboration opportunities, enhancing the overall educational experience. Research from the Journal of Social Issues indicates that strong activist networks contribute to personal and professional growth, providing students with valuable connections and experiences that extend beyond the university.</w:t>
      </w:r>
    </w:p>
    <w:p w14:paraId="02B217EC" w14:textId="77777777" w:rsidR="003B70BD" w:rsidRPr="003B70BD" w:rsidRDefault="003B70BD" w:rsidP="003B70BD">
      <w:pPr>
        <w:spacing w:line="256" w:lineRule="auto"/>
        <w:rPr>
          <w:rFonts w:ascii="Abadi" w:eastAsia="Aptos" w:hAnsi="Abadi" w:cs="Times New Roman"/>
          <w:sz w:val="28"/>
          <w:szCs w:val="28"/>
        </w:rPr>
      </w:pPr>
    </w:p>
    <w:p w14:paraId="054C5FA0" w14:textId="77777777" w:rsidR="003B70BD" w:rsidRPr="003B70BD" w:rsidRDefault="003B70BD" w:rsidP="003B70BD">
      <w:pPr>
        <w:spacing w:line="256" w:lineRule="auto"/>
        <w:rPr>
          <w:rFonts w:ascii="Abadi" w:eastAsia="Aptos" w:hAnsi="Abadi" w:cs="Times New Roman"/>
          <w:b/>
          <w:bCs/>
          <w:sz w:val="28"/>
          <w:szCs w:val="28"/>
        </w:rPr>
      </w:pPr>
      <w:r w:rsidRPr="003B70BD">
        <w:rPr>
          <w:rFonts w:ascii="Abadi" w:eastAsia="Aptos" w:hAnsi="Abadi" w:cs="Times New Roman"/>
          <w:b/>
          <w:bCs/>
          <w:sz w:val="28"/>
          <w:szCs w:val="28"/>
        </w:rPr>
        <w:t>Advocate B Presentation: In Support of Academic Neutrality</w:t>
      </w:r>
    </w:p>
    <w:p w14:paraId="5DFD3B04" w14:textId="77777777" w:rsidR="003B70BD" w:rsidRPr="003B70BD" w:rsidRDefault="003B70BD" w:rsidP="003B70BD">
      <w:pPr>
        <w:spacing w:line="256" w:lineRule="auto"/>
        <w:rPr>
          <w:rFonts w:ascii="Abadi" w:eastAsia="Aptos" w:hAnsi="Abadi" w:cs="Times New Roman"/>
          <w:sz w:val="28"/>
          <w:szCs w:val="28"/>
        </w:rPr>
      </w:pPr>
      <w:r w:rsidRPr="003B70BD">
        <w:rPr>
          <w:rFonts w:ascii="Abadi" w:eastAsia="Aptos" w:hAnsi="Abadi" w:cs="Times New Roman"/>
          <w:sz w:val="28"/>
          <w:szCs w:val="28"/>
        </w:rPr>
        <w:t>Maintaining academic neutrality in Gaza’s universities is essential for ensuring an unbiased educational environment and preserving the primary focus on learning. Here are five detailed and research-backed points supporting this view:</w:t>
      </w:r>
    </w:p>
    <w:p w14:paraId="56CDFAA2" w14:textId="77777777" w:rsidR="003B70BD" w:rsidRPr="003B70BD" w:rsidRDefault="003B70BD" w:rsidP="003B70BD">
      <w:pPr>
        <w:numPr>
          <w:ilvl w:val="0"/>
          <w:numId w:val="39"/>
        </w:numPr>
        <w:spacing w:line="256" w:lineRule="auto"/>
        <w:rPr>
          <w:rFonts w:ascii="Abadi" w:eastAsia="Aptos" w:hAnsi="Abadi" w:cs="Times New Roman"/>
          <w:sz w:val="28"/>
          <w:szCs w:val="28"/>
        </w:rPr>
      </w:pPr>
      <w:r w:rsidRPr="003B70BD">
        <w:rPr>
          <w:rFonts w:ascii="Abadi" w:eastAsia="Aptos" w:hAnsi="Abadi" w:cs="Times New Roman"/>
          <w:b/>
          <w:bCs/>
          <w:sz w:val="28"/>
          <w:szCs w:val="28"/>
        </w:rPr>
        <w:t>Ensuring Unbiased Education</w:t>
      </w:r>
      <w:r w:rsidRPr="003B70BD">
        <w:rPr>
          <w:rFonts w:ascii="Abadi" w:eastAsia="Aptos" w:hAnsi="Abadi" w:cs="Times New Roman"/>
          <w:sz w:val="28"/>
          <w:szCs w:val="28"/>
        </w:rPr>
        <w:t xml:space="preserve">: Academic neutrality ensures that the educational environment remains free from political or social biases, allowing students to engage with diverse perspectives objectively. This unbiased approach is crucial for fostering critical thinking and intellectual development. Research from the Chronicle of Higher Education emphasizes that an unbiased academic environment supports the development of well-rounded individuals who can </w:t>
      </w:r>
      <w:proofErr w:type="spellStart"/>
      <w:r w:rsidRPr="003B70BD">
        <w:rPr>
          <w:rFonts w:ascii="Abadi" w:eastAsia="Aptos" w:hAnsi="Abadi" w:cs="Times New Roman"/>
          <w:sz w:val="28"/>
          <w:szCs w:val="28"/>
        </w:rPr>
        <w:t>analyze</w:t>
      </w:r>
      <w:proofErr w:type="spellEnd"/>
      <w:r w:rsidRPr="003B70BD">
        <w:rPr>
          <w:rFonts w:ascii="Abadi" w:eastAsia="Aptos" w:hAnsi="Abadi" w:cs="Times New Roman"/>
          <w:sz w:val="28"/>
          <w:szCs w:val="28"/>
        </w:rPr>
        <w:t xml:space="preserve"> issues from multiple viewpoints.</w:t>
      </w:r>
    </w:p>
    <w:p w14:paraId="371502E0" w14:textId="77777777" w:rsidR="003B70BD" w:rsidRPr="003B70BD" w:rsidRDefault="003B70BD" w:rsidP="003B70BD">
      <w:pPr>
        <w:numPr>
          <w:ilvl w:val="0"/>
          <w:numId w:val="39"/>
        </w:numPr>
        <w:spacing w:line="256" w:lineRule="auto"/>
        <w:rPr>
          <w:rFonts w:ascii="Abadi" w:eastAsia="Aptos" w:hAnsi="Abadi" w:cs="Times New Roman"/>
          <w:sz w:val="28"/>
          <w:szCs w:val="28"/>
        </w:rPr>
      </w:pPr>
      <w:r w:rsidRPr="003B70BD">
        <w:rPr>
          <w:rFonts w:ascii="Abadi" w:eastAsia="Aptos" w:hAnsi="Abadi" w:cs="Times New Roman"/>
          <w:b/>
          <w:bCs/>
          <w:sz w:val="28"/>
          <w:szCs w:val="28"/>
        </w:rPr>
        <w:lastRenderedPageBreak/>
        <w:t>Protecting Academic Freedom</w:t>
      </w:r>
      <w:r w:rsidRPr="003B70BD">
        <w:rPr>
          <w:rFonts w:ascii="Abadi" w:eastAsia="Aptos" w:hAnsi="Abadi" w:cs="Times New Roman"/>
          <w:sz w:val="28"/>
          <w:szCs w:val="28"/>
        </w:rPr>
        <w:t>: By maintaining academic neutrality, universities can protect academic freedom, ensuring that faculty and students can pursue research and learning without external pressures or interference. This protection is vital in a region like Gaza, where political and social tensions are high. The American Association of University Professors (AAUP) highlights that academic freedom is fundamental for scholarly inquiry and the advancement of knowledge.</w:t>
      </w:r>
    </w:p>
    <w:p w14:paraId="3C1C260A" w14:textId="77777777" w:rsidR="003B70BD" w:rsidRPr="003B70BD" w:rsidRDefault="003B70BD" w:rsidP="003B70BD">
      <w:pPr>
        <w:numPr>
          <w:ilvl w:val="0"/>
          <w:numId w:val="39"/>
        </w:numPr>
        <w:spacing w:line="256" w:lineRule="auto"/>
        <w:rPr>
          <w:rFonts w:ascii="Abadi" w:eastAsia="Aptos" w:hAnsi="Abadi" w:cs="Times New Roman"/>
          <w:sz w:val="28"/>
          <w:szCs w:val="28"/>
        </w:rPr>
      </w:pPr>
      <w:r w:rsidRPr="003B70BD">
        <w:rPr>
          <w:rFonts w:ascii="Abadi" w:eastAsia="Aptos" w:hAnsi="Abadi" w:cs="Times New Roman"/>
          <w:b/>
          <w:bCs/>
          <w:sz w:val="28"/>
          <w:szCs w:val="28"/>
        </w:rPr>
        <w:t>Focusing on Educational Excellence</w:t>
      </w:r>
      <w:r w:rsidRPr="003B70BD">
        <w:rPr>
          <w:rFonts w:ascii="Abadi" w:eastAsia="Aptos" w:hAnsi="Abadi" w:cs="Times New Roman"/>
          <w:sz w:val="28"/>
          <w:szCs w:val="28"/>
        </w:rPr>
        <w:t>: Prioritizing academic neutrality helps ensure that the primary focus of universities remains on education and academic excellence. This focus is particularly important in Gaza, where resources are limited, and the educational system faces numerous challenges due to the occupation and military actions. According to the International Journal of Educational Development, maintaining a focused academic environment is essential for achieving high educational standards and student success.</w:t>
      </w:r>
    </w:p>
    <w:p w14:paraId="1EEC1F3B" w14:textId="77777777" w:rsidR="003B70BD" w:rsidRPr="003B70BD" w:rsidRDefault="003B70BD" w:rsidP="003B70BD">
      <w:pPr>
        <w:numPr>
          <w:ilvl w:val="0"/>
          <w:numId w:val="39"/>
        </w:numPr>
        <w:spacing w:line="256" w:lineRule="auto"/>
        <w:rPr>
          <w:rFonts w:ascii="Abadi" w:eastAsia="Aptos" w:hAnsi="Abadi" w:cs="Times New Roman"/>
          <w:sz w:val="28"/>
          <w:szCs w:val="28"/>
        </w:rPr>
      </w:pPr>
      <w:r w:rsidRPr="003B70BD">
        <w:rPr>
          <w:rFonts w:ascii="Abadi" w:eastAsia="Aptos" w:hAnsi="Abadi" w:cs="Times New Roman"/>
          <w:b/>
          <w:bCs/>
          <w:sz w:val="28"/>
          <w:szCs w:val="28"/>
        </w:rPr>
        <w:t>Avoiding Political Polarization</w:t>
      </w:r>
      <w:r w:rsidRPr="003B70BD">
        <w:rPr>
          <w:rFonts w:ascii="Abadi" w:eastAsia="Aptos" w:hAnsi="Abadi" w:cs="Times New Roman"/>
          <w:sz w:val="28"/>
          <w:szCs w:val="28"/>
        </w:rPr>
        <w:t>: Encouraging student activism can sometimes lead to political polarization and tensions within the university community. By maintaining neutrality, universities can create a more harmonious and inclusive environment where all students feel safe and supported. The Journal of Educational Policy notes that avoiding political polarization is crucial for maintaining a conducive learning environment, especially in regions with ongoing social and political unrest.</w:t>
      </w:r>
    </w:p>
    <w:p w14:paraId="6376ECDA" w14:textId="77777777" w:rsidR="003B70BD" w:rsidRPr="003B70BD" w:rsidRDefault="003B70BD" w:rsidP="003B70BD">
      <w:pPr>
        <w:numPr>
          <w:ilvl w:val="0"/>
          <w:numId w:val="39"/>
        </w:numPr>
        <w:spacing w:line="256" w:lineRule="auto"/>
        <w:rPr>
          <w:rFonts w:ascii="Abadi" w:eastAsia="Aptos" w:hAnsi="Abadi" w:cs="Times New Roman"/>
          <w:sz w:val="28"/>
          <w:szCs w:val="28"/>
        </w:rPr>
      </w:pPr>
      <w:r w:rsidRPr="003B70BD">
        <w:rPr>
          <w:rFonts w:ascii="Abadi" w:eastAsia="Aptos" w:hAnsi="Abadi" w:cs="Times New Roman"/>
          <w:b/>
          <w:bCs/>
          <w:sz w:val="28"/>
          <w:szCs w:val="28"/>
        </w:rPr>
        <w:t>Promoting Scholarly Integrity and Objectivity</w:t>
      </w:r>
      <w:r w:rsidRPr="003B70BD">
        <w:rPr>
          <w:rFonts w:ascii="Abadi" w:eastAsia="Aptos" w:hAnsi="Abadi" w:cs="Times New Roman"/>
          <w:sz w:val="28"/>
          <w:szCs w:val="28"/>
        </w:rPr>
        <w:t>: Academic neutrality fosters scholarly integrity and objectivity, ensuring that research and teaching are based on evidence and reason rather than political or social agendas. This approach is critical for maintaining the credibility and reputation of Gaza’s universities. Research from the Journal of Academic Ethics underscores the importance of maintaining objectivity in academia to uphold the integrity of educational institutions and the trust of the broader community.</w:t>
      </w:r>
    </w:p>
    <w:p w14:paraId="64695FE7" w14:textId="77777777" w:rsidR="003B70BD" w:rsidRPr="003B70BD" w:rsidRDefault="003B70BD" w:rsidP="003B70BD">
      <w:pPr>
        <w:spacing w:line="256" w:lineRule="auto"/>
        <w:rPr>
          <w:rFonts w:ascii="Abadi" w:eastAsia="Aptos" w:hAnsi="Abadi" w:cs="Times New Roman"/>
          <w:sz w:val="28"/>
          <w:szCs w:val="28"/>
        </w:rPr>
      </w:pPr>
    </w:p>
    <w:p w14:paraId="399112A9" w14:textId="77777777" w:rsidR="003B70BD" w:rsidRPr="003B70BD" w:rsidRDefault="003B70BD" w:rsidP="003B70BD">
      <w:pPr>
        <w:spacing w:line="256" w:lineRule="auto"/>
        <w:rPr>
          <w:rFonts w:ascii="Abadi" w:eastAsia="Aptos" w:hAnsi="Abadi" w:cs="Times New Roman"/>
          <w:b/>
          <w:bCs/>
          <w:sz w:val="28"/>
          <w:szCs w:val="28"/>
        </w:rPr>
      </w:pPr>
      <w:r w:rsidRPr="003B70BD">
        <w:rPr>
          <w:rFonts w:ascii="Abadi" w:eastAsia="Aptos" w:hAnsi="Abadi" w:cs="Times New Roman"/>
          <w:b/>
          <w:bCs/>
          <w:sz w:val="28"/>
          <w:szCs w:val="28"/>
        </w:rPr>
        <w:t>Advocate A Responding to Advocate B</w:t>
      </w:r>
    </w:p>
    <w:p w14:paraId="0D85ACE6" w14:textId="77777777" w:rsidR="003B70BD" w:rsidRPr="003B70BD" w:rsidRDefault="003B70BD" w:rsidP="003B70BD">
      <w:pPr>
        <w:spacing w:line="256" w:lineRule="auto"/>
        <w:rPr>
          <w:rFonts w:ascii="Abadi" w:eastAsia="Aptos" w:hAnsi="Abadi" w:cs="Times New Roman"/>
          <w:sz w:val="28"/>
          <w:szCs w:val="28"/>
        </w:rPr>
      </w:pPr>
      <w:r w:rsidRPr="003B70BD">
        <w:rPr>
          <w:rFonts w:ascii="Abadi" w:eastAsia="Aptos" w:hAnsi="Abadi" w:cs="Times New Roman"/>
          <w:sz w:val="28"/>
          <w:szCs w:val="28"/>
        </w:rPr>
        <w:t xml:space="preserve">While academic neutrality is crucial for ensuring an unbiased educational environment and protecting academic freedom, it is also important to recognize the unique socio-political context of Gaza. Encouraging student </w:t>
      </w:r>
      <w:r w:rsidRPr="003B70BD">
        <w:rPr>
          <w:rFonts w:ascii="Abadi" w:eastAsia="Aptos" w:hAnsi="Abadi" w:cs="Times New Roman"/>
          <w:sz w:val="28"/>
          <w:szCs w:val="28"/>
        </w:rPr>
        <w:lastRenderedPageBreak/>
        <w:t>activism empowers students to address pressing social issues and promotes democratic values essential for community rebuilding after Israel's war in Gaza. Activism provides a necessary platform for students to engage in civic life and develop leadership skills, which are critical for long-term societal development. Balancing academic neutrality with opportunities for activism can create a dynamic learning environment where students are both well-educated and socially responsible.</w:t>
      </w:r>
    </w:p>
    <w:p w14:paraId="5C469C50" w14:textId="77777777" w:rsidR="003B70BD" w:rsidRPr="003B70BD" w:rsidRDefault="003B70BD" w:rsidP="003B70BD">
      <w:pPr>
        <w:spacing w:line="256" w:lineRule="auto"/>
        <w:rPr>
          <w:rFonts w:ascii="Abadi" w:eastAsia="Aptos" w:hAnsi="Abadi" w:cs="Times New Roman"/>
          <w:sz w:val="28"/>
          <w:szCs w:val="28"/>
        </w:rPr>
      </w:pPr>
    </w:p>
    <w:p w14:paraId="1BE7A213" w14:textId="77777777" w:rsidR="003B70BD" w:rsidRPr="003B70BD" w:rsidRDefault="003B70BD" w:rsidP="003B70BD">
      <w:pPr>
        <w:spacing w:line="256" w:lineRule="auto"/>
        <w:rPr>
          <w:rFonts w:ascii="Abadi" w:eastAsia="Aptos" w:hAnsi="Abadi" w:cs="Times New Roman"/>
          <w:b/>
          <w:bCs/>
          <w:sz w:val="28"/>
          <w:szCs w:val="28"/>
        </w:rPr>
      </w:pPr>
      <w:r w:rsidRPr="003B70BD">
        <w:rPr>
          <w:rFonts w:ascii="Abadi" w:eastAsia="Aptos" w:hAnsi="Abadi" w:cs="Times New Roman"/>
          <w:b/>
          <w:bCs/>
          <w:sz w:val="28"/>
          <w:szCs w:val="28"/>
        </w:rPr>
        <w:t>Advocate B Responding to Advocate A</w:t>
      </w:r>
    </w:p>
    <w:p w14:paraId="204173CB" w14:textId="77777777" w:rsidR="003B70BD" w:rsidRPr="003B70BD" w:rsidRDefault="003B70BD" w:rsidP="003B70BD">
      <w:pPr>
        <w:spacing w:line="256" w:lineRule="auto"/>
        <w:rPr>
          <w:rFonts w:ascii="Abadi" w:eastAsia="Aptos" w:hAnsi="Abadi" w:cs="Times New Roman"/>
          <w:sz w:val="28"/>
          <w:szCs w:val="28"/>
        </w:rPr>
      </w:pPr>
      <w:r w:rsidRPr="003B70BD">
        <w:rPr>
          <w:rFonts w:ascii="Abadi" w:eastAsia="Aptos" w:hAnsi="Abadi" w:cs="Times New Roman"/>
          <w:sz w:val="28"/>
          <w:szCs w:val="28"/>
        </w:rPr>
        <w:t>While student activism promotes democratic values and social engagement, maintaining academic neutrality is essential to ensure that education remains unbiased and focused on learning. In Gaza's complex socio-political environment, an impartial academic atmosphere allows for the free exchange of ideas without the risk of political polarization or external pressures. This neutrality protects academic freedom, upholds scholarly integrity, and ensures that educational resources are used effectively to provide high-quality education. Balancing activism with academic neutrality can support a diverse and inclusive academic environment where students can thrive both intellectually and socially.</w:t>
      </w:r>
    </w:p>
    <w:p w14:paraId="0A03F1C4" w14:textId="77777777" w:rsidR="003B70BD" w:rsidRPr="003B70BD" w:rsidRDefault="003B70BD" w:rsidP="003B70BD">
      <w:pPr>
        <w:spacing w:line="256" w:lineRule="auto"/>
        <w:rPr>
          <w:rFonts w:ascii="Abadi" w:eastAsia="Aptos" w:hAnsi="Abadi" w:cs="Times New Roman"/>
          <w:sz w:val="28"/>
          <w:szCs w:val="28"/>
        </w:rPr>
      </w:pPr>
    </w:p>
    <w:p w14:paraId="545E9676" w14:textId="77777777" w:rsidR="003B70BD" w:rsidRPr="003B70BD" w:rsidRDefault="003B70BD" w:rsidP="003B70BD">
      <w:pPr>
        <w:spacing w:line="256" w:lineRule="auto"/>
        <w:rPr>
          <w:rFonts w:ascii="Abadi" w:eastAsia="Aptos" w:hAnsi="Abadi" w:cs="Times New Roman"/>
          <w:b/>
          <w:bCs/>
          <w:sz w:val="28"/>
          <w:szCs w:val="28"/>
        </w:rPr>
      </w:pPr>
      <w:r w:rsidRPr="003B70BD">
        <w:rPr>
          <w:rFonts w:ascii="Abadi" w:eastAsia="Aptos" w:hAnsi="Abadi" w:cs="Times New Roman"/>
          <w:b/>
          <w:bCs/>
          <w:sz w:val="28"/>
          <w:szCs w:val="28"/>
        </w:rPr>
        <w:t>Moderator's Summary</w:t>
      </w:r>
    </w:p>
    <w:p w14:paraId="4BBF17CA" w14:textId="77777777" w:rsidR="003B70BD" w:rsidRPr="003B70BD" w:rsidRDefault="003B70BD" w:rsidP="003B70BD">
      <w:pPr>
        <w:spacing w:line="256" w:lineRule="auto"/>
        <w:rPr>
          <w:rFonts w:ascii="Abadi" w:eastAsia="Aptos" w:hAnsi="Abadi" w:cs="Times New Roman"/>
          <w:sz w:val="28"/>
          <w:szCs w:val="28"/>
        </w:rPr>
      </w:pPr>
      <w:r w:rsidRPr="003B70BD">
        <w:rPr>
          <w:rFonts w:ascii="Abadi" w:eastAsia="Aptos" w:hAnsi="Abadi" w:cs="Times New Roman"/>
          <w:sz w:val="28"/>
          <w:szCs w:val="28"/>
        </w:rPr>
        <w:t xml:space="preserve">The debate on student activism versus academic neutrality in Gaza’s universities underscores the complex interplay between fostering civic engagement and maintaining an unbiased educational environment. Advocate A emphasized the importance of encouraging student activism to empower students, promote democratic values, and address pressing social issues in the context of Gaza’s occupation and the impacts of Israel's war in Gaza. Activism provides students with a platform to develop leadership skills, engage in civic life, and contribute to community rebuilding. </w:t>
      </w:r>
    </w:p>
    <w:p w14:paraId="7D0081F0" w14:textId="77777777" w:rsidR="003B70BD" w:rsidRPr="003B70BD" w:rsidRDefault="003B70BD" w:rsidP="003B70BD">
      <w:pPr>
        <w:spacing w:line="256" w:lineRule="auto"/>
        <w:rPr>
          <w:rFonts w:ascii="Abadi" w:eastAsia="Aptos" w:hAnsi="Abadi" w:cs="Times New Roman"/>
          <w:sz w:val="28"/>
          <w:szCs w:val="28"/>
        </w:rPr>
      </w:pPr>
      <w:r w:rsidRPr="003B70BD">
        <w:rPr>
          <w:rFonts w:ascii="Abadi" w:eastAsia="Aptos" w:hAnsi="Abadi" w:cs="Times New Roman"/>
          <w:sz w:val="28"/>
          <w:szCs w:val="28"/>
        </w:rPr>
        <w:t xml:space="preserve">On the other hand, Advocate B highlighted the necessity of academic neutrality to ensure that education remains focused and unbiased, protecting academic freedom and fostering a harmonious learning environment. Neutrality helps avoid political polarization and ensures that scholarly integrity and objectivity are maintained. Both advocates recognize the value of balancing these perspectives to create a dynamic and inclusive academic environment where students can excel both </w:t>
      </w:r>
      <w:r w:rsidRPr="003B70BD">
        <w:rPr>
          <w:rFonts w:ascii="Abadi" w:eastAsia="Aptos" w:hAnsi="Abadi" w:cs="Times New Roman"/>
          <w:sz w:val="28"/>
          <w:szCs w:val="28"/>
        </w:rPr>
        <w:lastRenderedPageBreak/>
        <w:t>intellectually and socially. This balance is crucial for supporting both immediate social needs and long-term educational goals in Gaza.</w:t>
      </w:r>
    </w:p>
    <w:p w14:paraId="1785C110" w14:textId="77777777" w:rsidR="003B70BD" w:rsidRPr="003B70BD" w:rsidRDefault="003B70BD" w:rsidP="003B70BD">
      <w:pPr>
        <w:spacing w:line="256" w:lineRule="auto"/>
        <w:rPr>
          <w:rFonts w:ascii="Abadi" w:eastAsia="Aptos" w:hAnsi="Abadi" w:cs="Times New Roman"/>
          <w:sz w:val="28"/>
          <w:szCs w:val="28"/>
        </w:rPr>
      </w:pPr>
    </w:p>
    <w:p w14:paraId="014C3372" w14:textId="77777777" w:rsidR="003B70BD" w:rsidRPr="003B70BD" w:rsidRDefault="003B70BD" w:rsidP="003B70BD">
      <w:pPr>
        <w:spacing w:line="256" w:lineRule="auto"/>
        <w:rPr>
          <w:rFonts w:ascii="Abadi" w:eastAsia="Aptos" w:hAnsi="Abadi" w:cs="Times New Roman"/>
          <w:b/>
          <w:bCs/>
          <w:sz w:val="28"/>
          <w:szCs w:val="28"/>
        </w:rPr>
      </w:pPr>
      <w:r w:rsidRPr="003B70BD">
        <w:rPr>
          <w:rFonts w:ascii="Abadi" w:eastAsia="Aptos" w:hAnsi="Abadi" w:cs="Times New Roman"/>
          <w:b/>
          <w:bCs/>
          <w:sz w:val="28"/>
          <w:szCs w:val="28"/>
        </w:rPr>
        <w:t>Reflective Questions for Further Consideration</w:t>
      </w:r>
    </w:p>
    <w:p w14:paraId="635E4B78" w14:textId="77777777" w:rsidR="003B70BD" w:rsidRPr="003B70BD" w:rsidRDefault="003B70BD" w:rsidP="003B70BD">
      <w:pPr>
        <w:numPr>
          <w:ilvl w:val="0"/>
          <w:numId w:val="40"/>
        </w:numPr>
        <w:spacing w:line="256" w:lineRule="auto"/>
        <w:rPr>
          <w:rFonts w:ascii="Abadi" w:eastAsia="Aptos" w:hAnsi="Abadi" w:cs="Times New Roman"/>
          <w:sz w:val="28"/>
          <w:szCs w:val="28"/>
        </w:rPr>
      </w:pPr>
      <w:r w:rsidRPr="003B70BD">
        <w:rPr>
          <w:rFonts w:ascii="Abadi" w:eastAsia="Aptos" w:hAnsi="Abadi" w:cs="Times New Roman"/>
          <w:sz w:val="28"/>
          <w:szCs w:val="28"/>
        </w:rPr>
        <w:t xml:space="preserve">How can Gaza’s universities balance </w:t>
      </w:r>
      <w:proofErr w:type="gramStart"/>
      <w:r w:rsidRPr="003B70BD">
        <w:rPr>
          <w:rFonts w:ascii="Abadi" w:eastAsia="Aptos" w:hAnsi="Abadi" w:cs="Times New Roman"/>
          <w:sz w:val="28"/>
          <w:szCs w:val="28"/>
        </w:rPr>
        <w:t>encouraging</w:t>
      </w:r>
      <w:proofErr w:type="gramEnd"/>
      <w:r w:rsidRPr="003B70BD">
        <w:rPr>
          <w:rFonts w:ascii="Abadi" w:eastAsia="Aptos" w:hAnsi="Abadi" w:cs="Times New Roman"/>
          <w:sz w:val="28"/>
          <w:szCs w:val="28"/>
        </w:rPr>
        <w:t xml:space="preserve"> student activism with maintaining academic neutrality?</w:t>
      </w:r>
    </w:p>
    <w:p w14:paraId="33821722" w14:textId="77777777" w:rsidR="003B70BD" w:rsidRPr="003B70BD" w:rsidRDefault="003B70BD" w:rsidP="003B70BD">
      <w:pPr>
        <w:numPr>
          <w:ilvl w:val="0"/>
          <w:numId w:val="40"/>
        </w:numPr>
        <w:spacing w:line="256" w:lineRule="auto"/>
        <w:rPr>
          <w:rFonts w:ascii="Abadi" w:eastAsia="Aptos" w:hAnsi="Abadi" w:cs="Times New Roman"/>
          <w:sz w:val="28"/>
          <w:szCs w:val="28"/>
        </w:rPr>
      </w:pPr>
      <w:r w:rsidRPr="003B70BD">
        <w:rPr>
          <w:rFonts w:ascii="Abadi" w:eastAsia="Aptos" w:hAnsi="Abadi" w:cs="Times New Roman"/>
          <w:sz w:val="28"/>
          <w:szCs w:val="28"/>
        </w:rPr>
        <w:t>What strategies can ensure that student activism does not lead to political polarization within the university?</w:t>
      </w:r>
    </w:p>
    <w:p w14:paraId="20BE3ECE" w14:textId="77777777" w:rsidR="003B70BD" w:rsidRPr="003B70BD" w:rsidRDefault="003B70BD" w:rsidP="003B70BD">
      <w:pPr>
        <w:numPr>
          <w:ilvl w:val="0"/>
          <w:numId w:val="40"/>
        </w:numPr>
        <w:spacing w:line="256" w:lineRule="auto"/>
        <w:rPr>
          <w:rFonts w:ascii="Abadi" w:eastAsia="Aptos" w:hAnsi="Abadi" w:cs="Times New Roman"/>
          <w:sz w:val="28"/>
          <w:szCs w:val="28"/>
        </w:rPr>
      </w:pPr>
      <w:r w:rsidRPr="003B70BD">
        <w:rPr>
          <w:rFonts w:ascii="Abadi" w:eastAsia="Aptos" w:hAnsi="Abadi" w:cs="Times New Roman"/>
          <w:sz w:val="28"/>
          <w:szCs w:val="28"/>
        </w:rPr>
        <w:t>How can academic neutrality be upheld while still allowing students to engage with and address pressing social issues?</w:t>
      </w:r>
    </w:p>
    <w:p w14:paraId="3D7C3B4E" w14:textId="77777777" w:rsidR="003B70BD" w:rsidRPr="003B70BD" w:rsidRDefault="003B70BD" w:rsidP="003B70BD">
      <w:pPr>
        <w:spacing w:line="256" w:lineRule="auto"/>
        <w:rPr>
          <w:rFonts w:ascii="Abadi" w:eastAsia="Aptos" w:hAnsi="Abadi" w:cs="Times New Roman"/>
          <w:sz w:val="28"/>
          <w:szCs w:val="28"/>
        </w:rPr>
      </w:pPr>
    </w:p>
    <w:p w14:paraId="7077DDBC" w14:textId="77777777" w:rsidR="003B70BD" w:rsidRPr="00336C7D" w:rsidRDefault="003B70BD" w:rsidP="00336C7D">
      <w:pPr>
        <w:rPr>
          <w:rFonts w:ascii="Abadi" w:eastAsia="Times New Roman" w:hAnsi="Abadi" w:cs="Times New Roman"/>
          <w:b/>
          <w:bCs/>
          <w:color w:val="E4312B"/>
          <w:kern w:val="0"/>
          <w:sz w:val="28"/>
          <w:szCs w:val="28"/>
          <w14:ligatures w14:val="none"/>
        </w:rPr>
      </w:pPr>
    </w:p>
    <w:sectPr w:rsidR="003B70BD" w:rsidRPr="00336C7D">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7192BEE" w14:textId="77777777" w:rsidR="00AE7909" w:rsidRDefault="00AE7909" w:rsidP="0075298C">
      <w:pPr>
        <w:spacing w:after="0" w:line="240" w:lineRule="auto"/>
      </w:pPr>
      <w:r>
        <w:separator/>
      </w:r>
    </w:p>
  </w:endnote>
  <w:endnote w:type="continuationSeparator" w:id="0">
    <w:p w14:paraId="3AEC1CFE" w14:textId="77777777" w:rsidR="00AE7909" w:rsidRDefault="00AE7909" w:rsidP="007529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badi">
    <w:charset w:val="00"/>
    <w:family w:val="swiss"/>
    <w:pitch w:val="variable"/>
    <w:sig w:usb0="80000003" w:usb1="00000000" w:usb2="00000000" w:usb3="00000000" w:csb0="00000001" w:csb1="00000000"/>
  </w:font>
  <w:font w:name="Aptos">
    <w:charset w:val="00"/>
    <w:family w:val="swiss"/>
    <w:pitch w:val="variable"/>
    <w:sig w:usb0="20000287" w:usb1="00000003" w:usb2="00000000"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2C09A6" w14:textId="77777777" w:rsidR="0004451C" w:rsidRDefault="0004451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16599770"/>
      <w:docPartObj>
        <w:docPartGallery w:val="Page Numbers (Bottom of Page)"/>
        <w:docPartUnique/>
      </w:docPartObj>
    </w:sdtPr>
    <w:sdtEndPr>
      <w:rPr>
        <w:noProof/>
      </w:rPr>
    </w:sdtEndPr>
    <w:sdtContent>
      <w:p w14:paraId="723104AB" w14:textId="38F78FF9" w:rsidR="00363CB8" w:rsidRDefault="00363CB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C196622" w14:textId="5B191FF9" w:rsidR="00932455" w:rsidRPr="008C7680" w:rsidRDefault="005B544C">
    <w:pPr>
      <w:pStyle w:val="Footer"/>
      <w:rPr>
        <w:rFonts w:ascii="Abadi" w:hAnsi="Abadi"/>
      </w:rPr>
    </w:pPr>
    <w:r>
      <w:rPr>
        <w:rFonts w:ascii="Abadi" w:hAnsi="Abadi"/>
      </w:rPr>
      <w:t xml:space="preserve">Debates             </w:t>
    </w:r>
    <w:r w:rsidR="00363CB8" w:rsidRPr="008C7680">
      <w:rPr>
        <w:rFonts w:ascii="Abadi" w:hAnsi="Abadi"/>
      </w:rPr>
      <w:t xml:space="preserve">                                                                               Reflect - </w:t>
    </w:r>
    <w:r w:rsidR="009C641D">
      <w:rPr>
        <w:rFonts w:ascii="Abadi" w:hAnsi="Abadi"/>
      </w:rPr>
      <w:t>Spark</w:t>
    </w:r>
    <w:r w:rsidR="00363CB8" w:rsidRPr="008C7680">
      <w:rPr>
        <w:rFonts w:ascii="Abadi" w:hAnsi="Abadi"/>
      </w:rPr>
      <w:t xml:space="preserve"> - </w:t>
    </w:r>
    <w:r w:rsidR="009C641D">
      <w:rPr>
        <w:rFonts w:ascii="Abadi" w:hAnsi="Abadi"/>
      </w:rPr>
      <w:t>Adapt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789ED8" w14:textId="77777777" w:rsidR="0004451C" w:rsidRDefault="000445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9143172" w14:textId="77777777" w:rsidR="00AE7909" w:rsidRDefault="00AE7909" w:rsidP="0075298C">
      <w:pPr>
        <w:spacing w:after="0" w:line="240" w:lineRule="auto"/>
      </w:pPr>
      <w:r>
        <w:separator/>
      </w:r>
    </w:p>
  </w:footnote>
  <w:footnote w:type="continuationSeparator" w:id="0">
    <w:p w14:paraId="0AA68742" w14:textId="77777777" w:rsidR="00AE7909" w:rsidRDefault="00AE7909" w:rsidP="007529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C35EEC" w14:textId="77777777" w:rsidR="0004451C" w:rsidRDefault="0004451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17AF03" w14:textId="127470F7" w:rsidR="00932455" w:rsidRDefault="00932455" w:rsidP="0004451C">
    <w:pPr>
      <w:pStyle w:val="Footer"/>
      <w:jc w:val="both"/>
    </w:pPr>
    <w:r>
      <w:rPr>
        <w:noProof/>
      </w:rPr>
      <w:drawing>
        <wp:anchor distT="0" distB="0" distL="114300" distR="114300" simplePos="0" relativeHeight="251659264" behindDoc="0" locked="0" layoutInCell="1" allowOverlap="1" wp14:anchorId="1CE52601" wp14:editId="35DDDBA5">
          <wp:simplePos x="0" y="0"/>
          <wp:positionH relativeFrom="leftMargin">
            <wp:align>right</wp:align>
          </wp:positionH>
          <wp:positionV relativeFrom="paragraph">
            <wp:posOffset>-212759</wp:posOffset>
          </wp:positionV>
          <wp:extent cx="595630" cy="595630"/>
          <wp:effectExtent l="0" t="0" r="0" b="0"/>
          <wp:wrapSquare wrapText="bothSides"/>
          <wp:docPr id="1393596021" name="Picture 3" descr="A red green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596021" name="Picture 3" descr="A red green and black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95630" cy="595630"/>
                  </a:xfrm>
                  <a:prstGeom prst="rect">
                    <a:avLst/>
                  </a:prstGeom>
                </pic:spPr>
              </pic:pic>
            </a:graphicData>
          </a:graphic>
          <wp14:sizeRelH relativeFrom="margin">
            <wp14:pctWidth>0</wp14:pctWidth>
          </wp14:sizeRelH>
          <wp14:sizeRelV relativeFrom="margin">
            <wp14:pctHeight>0</wp14:pctHeight>
          </wp14:sizeRelV>
        </wp:anchor>
      </w:drawing>
    </w:r>
    <w:r>
      <w:t>H</w:t>
    </w:r>
    <w:r w:rsidR="004E6CAF">
      <w:t>orizons</w:t>
    </w:r>
    <w:r>
      <w:t xml:space="preserve"> </w:t>
    </w:r>
    <w:r w:rsidR="00B0444E">
      <w:t>&amp;</w:t>
    </w:r>
    <w:r>
      <w:t xml:space="preserve"> O</w:t>
    </w:r>
    <w:r w:rsidR="004E6CAF">
      <w:t>pportunities</w:t>
    </w:r>
    <w:r>
      <w:t xml:space="preserve"> for P</w:t>
    </w:r>
    <w:r w:rsidR="004E6CAF">
      <w:t>alestine</w:t>
    </w:r>
    <w:r w:rsidR="00B0444E">
      <w:t xml:space="preserve"> E</w:t>
    </w:r>
    <w:r w:rsidR="004E6CAF">
      <w:t>ternal</w:t>
    </w:r>
    <w:r w:rsidR="00B0444E">
      <w:t xml:space="preserve">               </w:t>
    </w:r>
    <w:r w:rsidR="004E6CAF">
      <w:t xml:space="preserve">                   </w:t>
    </w:r>
    <w:r w:rsidR="00975AFF">
      <w:t xml:space="preserve">                                          </w:t>
    </w:r>
    <w:r w:rsidR="00FB78B9">
      <w:t xml:space="preserve"> </w:t>
    </w:r>
    <w:r w:rsidR="00EC4245">
      <w:t xml:space="preserve">        </w:t>
    </w:r>
    <w:r w:rsidR="0004451C" w:rsidRPr="0004451C">
      <w:t>Universities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3E81B9" w14:textId="77777777" w:rsidR="0004451C" w:rsidRDefault="0004451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B263EB"/>
    <w:multiLevelType w:val="multilevel"/>
    <w:tmpl w:val="146CBD6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275780C"/>
    <w:multiLevelType w:val="multilevel"/>
    <w:tmpl w:val="7900979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3516836"/>
    <w:multiLevelType w:val="hybridMultilevel"/>
    <w:tmpl w:val="73C6D0EC"/>
    <w:lvl w:ilvl="0" w:tplc="4C09000F">
      <w:start w:val="1"/>
      <w:numFmt w:val="decimal"/>
      <w:lvlText w:val="%1."/>
      <w:lvlJc w:val="lef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3" w15:restartNumberingAfterBreak="0">
    <w:nsid w:val="04904519"/>
    <w:multiLevelType w:val="multilevel"/>
    <w:tmpl w:val="39DC0D5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64E075B"/>
    <w:multiLevelType w:val="multilevel"/>
    <w:tmpl w:val="CABAEF2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08E31AE0"/>
    <w:multiLevelType w:val="multilevel"/>
    <w:tmpl w:val="85C454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9286E82"/>
    <w:multiLevelType w:val="multilevel"/>
    <w:tmpl w:val="8A9CEBB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0D50657B"/>
    <w:multiLevelType w:val="multilevel"/>
    <w:tmpl w:val="D18A53C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FC3653C"/>
    <w:multiLevelType w:val="multilevel"/>
    <w:tmpl w:val="5764F466"/>
    <w:lvl w:ilvl="0">
      <w:start w:val="1"/>
      <w:numFmt w:val="decimal"/>
      <w:suff w:val="space"/>
      <w:lvlText w:val="%1."/>
      <w:lvlJc w:val="left"/>
      <w:pPr>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9" w15:restartNumberingAfterBreak="0">
    <w:nsid w:val="101224CB"/>
    <w:multiLevelType w:val="multilevel"/>
    <w:tmpl w:val="7FB6CF8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14F419E9"/>
    <w:multiLevelType w:val="multilevel"/>
    <w:tmpl w:val="4DAAC596"/>
    <w:lvl w:ilvl="0">
      <w:start w:val="1"/>
      <w:numFmt w:val="decimal"/>
      <w:suff w:val="space"/>
      <w:lvlText w:val="%1."/>
      <w:lvlJc w:val="left"/>
      <w:pPr>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1" w15:restartNumberingAfterBreak="0">
    <w:nsid w:val="15F3364F"/>
    <w:multiLevelType w:val="multilevel"/>
    <w:tmpl w:val="7562AA8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16C5450D"/>
    <w:multiLevelType w:val="multilevel"/>
    <w:tmpl w:val="AA506FC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1E9A2E29"/>
    <w:multiLevelType w:val="multilevel"/>
    <w:tmpl w:val="2E96A9C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FCE47C5"/>
    <w:multiLevelType w:val="multilevel"/>
    <w:tmpl w:val="208E41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04D5B77"/>
    <w:multiLevelType w:val="multilevel"/>
    <w:tmpl w:val="89E48432"/>
    <w:lvl w:ilvl="0">
      <w:start w:val="1"/>
      <w:numFmt w:val="decimal"/>
      <w:suff w:val="space"/>
      <w:lvlText w:val="%1."/>
      <w:lvlJc w:val="left"/>
      <w:pPr>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15:restartNumberingAfterBreak="0">
    <w:nsid w:val="22886E6B"/>
    <w:multiLevelType w:val="multilevel"/>
    <w:tmpl w:val="8AAEBA4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15:restartNumberingAfterBreak="0">
    <w:nsid w:val="22AA15C7"/>
    <w:multiLevelType w:val="multilevel"/>
    <w:tmpl w:val="5D82A0B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75362E9"/>
    <w:multiLevelType w:val="multilevel"/>
    <w:tmpl w:val="C43E3920"/>
    <w:lvl w:ilvl="0">
      <w:start w:val="1"/>
      <w:numFmt w:val="decimal"/>
      <w:suff w:val="space"/>
      <w:lvlText w:val="%1."/>
      <w:lvlJc w:val="left"/>
      <w:pPr>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15:restartNumberingAfterBreak="0">
    <w:nsid w:val="28883044"/>
    <w:multiLevelType w:val="multilevel"/>
    <w:tmpl w:val="9F282C1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15:restartNumberingAfterBreak="0">
    <w:nsid w:val="2A2A572B"/>
    <w:multiLevelType w:val="multilevel"/>
    <w:tmpl w:val="97A41D4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CCF4198"/>
    <w:multiLevelType w:val="multilevel"/>
    <w:tmpl w:val="408A79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27D31F1"/>
    <w:multiLevelType w:val="multilevel"/>
    <w:tmpl w:val="38884CBC"/>
    <w:lvl w:ilvl="0">
      <w:start w:val="1"/>
      <w:numFmt w:val="decimal"/>
      <w:suff w:val="space"/>
      <w:lvlText w:val="%1."/>
      <w:lvlJc w:val="left"/>
      <w:pPr>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3" w15:restartNumberingAfterBreak="0">
    <w:nsid w:val="37114082"/>
    <w:multiLevelType w:val="multilevel"/>
    <w:tmpl w:val="A5E8221C"/>
    <w:lvl w:ilvl="0">
      <w:start w:val="1"/>
      <w:numFmt w:val="decimal"/>
      <w:suff w:val="space"/>
      <w:lvlText w:val="%1."/>
      <w:lvlJc w:val="left"/>
      <w:pPr>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15:restartNumberingAfterBreak="0">
    <w:nsid w:val="3CE31650"/>
    <w:multiLevelType w:val="multilevel"/>
    <w:tmpl w:val="4B04419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15:restartNumberingAfterBreak="0">
    <w:nsid w:val="4A253662"/>
    <w:multiLevelType w:val="multilevel"/>
    <w:tmpl w:val="116A4DF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C435AF5"/>
    <w:multiLevelType w:val="multilevel"/>
    <w:tmpl w:val="685645C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C5772B0"/>
    <w:multiLevelType w:val="multilevel"/>
    <w:tmpl w:val="26EEE61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15:restartNumberingAfterBreak="0">
    <w:nsid w:val="4C5E7866"/>
    <w:multiLevelType w:val="multilevel"/>
    <w:tmpl w:val="5F5003C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15:restartNumberingAfterBreak="0">
    <w:nsid w:val="52524DDF"/>
    <w:multiLevelType w:val="multilevel"/>
    <w:tmpl w:val="8DB83506"/>
    <w:lvl w:ilvl="0">
      <w:start w:val="1"/>
      <w:numFmt w:val="decimal"/>
      <w:suff w:val="space"/>
      <w:lvlText w:val="%1."/>
      <w:lvlJc w:val="left"/>
      <w:pPr>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0" w15:restartNumberingAfterBreak="0">
    <w:nsid w:val="56024225"/>
    <w:multiLevelType w:val="hybridMultilevel"/>
    <w:tmpl w:val="2F7AC30A"/>
    <w:lvl w:ilvl="0" w:tplc="0D6ADFF4">
      <w:numFmt w:val="bullet"/>
      <w:lvlText w:val=""/>
      <w:lvlJc w:val="left"/>
      <w:pPr>
        <w:ind w:left="720" w:hanging="360"/>
      </w:pPr>
      <w:rPr>
        <w:rFonts w:ascii="Abadi" w:eastAsia="Aptos" w:hAnsi="Abadi" w:cs="Times New Roman" w:hint="default"/>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31" w15:restartNumberingAfterBreak="0">
    <w:nsid w:val="5C351F3E"/>
    <w:multiLevelType w:val="multilevel"/>
    <w:tmpl w:val="DB0609FE"/>
    <w:lvl w:ilvl="0">
      <w:start w:val="1"/>
      <w:numFmt w:val="decimal"/>
      <w:suff w:val="space"/>
      <w:lvlText w:val="%1."/>
      <w:lvlJc w:val="left"/>
      <w:pPr>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15:restartNumberingAfterBreak="0">
    <w:nsid w:val="5CC11A7C"/>
    <w:multiLevelType w:val="multilevel"/>
    <w:tmpl w:val="952E8C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22C0FFD"/>
    <w:multiLevelType w:val="multilevel"/>
    <w:tmpl w:val="272E5D9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EED41B1"/>
    <w:multiLevelType w:val="multilevel"/>
    <w:tmpl w:val="DDCC603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F071CE0"/>
    <w:multiLevelType w:val="multilevel"/>
    <w:tmpl w:val="FEDCC28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 w15:restartNumberingAfterBreak="0">
    <w:nsid w:val="71547DA8"/>
    <w:multiLevelType w:val="multilevel"/>
    <w:tmpl w:val="D07E2AC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 w15:restartNumberingAfterBreak="0">
    <w:nsid w:val="74913093"/>
    <w:multiLevelType w:val="multilevel"/>
    <w:tmpl w:val="776E51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6A85411"/>
    <w:multiLevelType w:val="multilevel"/>
    <w:tmpl w:val="DBD04458"/>
    <w:lvl w:ilvl="0">
      <w:start w:val="1"/>
      <w:numFmt w:val="decimal"/>
      <w:suff w:val="space"/>
      <w:lvlText w:val="%1."/>
      <w:lvlJc w:val="left"/>
      <w:pPr>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9" w15:restartNumberingAfterBreak="0">
    <w:nsid w:val="77D3189E"/>
    <w:multiLevelType w:val="multilevel"/>
    <w:tmpl w:val="637E5792"/>
    <w:lvl w:ilvl="0">
      <w:start w:val="1"/>
      <w:numFmt w:val="decimal"/>
      <w:suff w:val="space"/>
      <w:lvlText w:val="%1."/>
      <w:lvlJc w:val="left"/>
      <w:pPr>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 w15:restartNumberingAfterBreak="0">
    <w:nsid w:val="781F0A25"/>
    <w:multiLevelType w:val="multilevel"/>
    <w:tmpl w:val="C2FCEDB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1" w15:restartNumberingAfterBreak="0">
    <w:nsid w:val="7D8E0C2A"/>
    <w:multiLevelType w:val="multilevel"/>
    <w:tmpl w:val="92A8C00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16cid:durableId="478770763">
    <w:abstractNumId w:val="8"/>
  </w:num>
  <w:num w:numId="2" w16cid:durableId="614873515">
    <w:abstractNumId w:val="13"/>
  </w:num>
  <w:num w:numId="3" w16cid:durableId="312835468">
    <w:abstractNumId w:val="33"/>
  </w:num>
  <w:num w:numId="4" w16cid:durableId="2062828331">
    <w:abstractNumId w:val="5"/>
  </w:num>
  <w:num w:numId="5" w16cid:durableId="1222402876">
    <w:abstractNumId w:val="10"/>
  </w:num>
  <w:num w:numId="6" w16cid:durableId="1980383724">
    <w:abstractNumId w:val="3"/>
  </w:num>
  <w:num w:numId="7" w16cid:durableId="2060933952">
    <w:abstractNumId w:val="17"/>
  </w:num>
  <w:num w:numId="8" w16cid:durableId="1893153067">
    <w:abstractNumId w:val="32"/>
  </w:num>
  <w:num w:numId="9" w16cid:durableId="773790360">
    <w:abstractNumId w:val="29"/>
  </w:num>
  <w:num w:numId="10" w16cid:durableId="1111433132">
    <w:abstractNumId w:val="7"/>
  </w:num>
  <w:num w:numId="11" w16cid:durableId="361904011">
    <w:abstractNumId w:val="26"/>
  </w:num>
  <w:num w:numId="12" w16cid:durableId="1564292035">
    <w:abstractNumId w:val="21"/>
  </w:num>
  <w:num w:numId="13" w16cid:durableId="1344437552">
    <w:abstractNumId w:val="38"/>
  </w:num>
  <w:num w:numId="14" w16cid:durableId="1994214795">
    <w:abstractNumId w:val="34"/>
  </w:num>
  <w:num w:numId="15" w16cid:durableId="688526859">
    <w:abstractNumId w:val="25"/>
  </w:num>
  <w:num w:numId="16" w16cid:durableId="618072878">
    <w:abstractNumId w:val="14"/>
  </w:num>
  <w:num w:numId="17" w16cid:durableId="1587300235">
    <w:abstractNumId w:val="22"/>
  </w:num>
  <w:num w:numId="18" w16cid:durableId="910894182">
    <w:abstractNumId w:val="20"/>
  </w:num>
  <w:num w:numId="19" w16cid:durableId="1361978266">
    <w:abstractNumId w:val="1"/>
  </w:num>
  <w:num w:numId="20" w16cid:durableId="1830172780">
    <w:abstractNumId w:val="37"/>
  </w:num>
  <w:num w:numId="21" w16cid:durableId="137916753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91727784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75231305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26506797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863285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9504313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46978546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26427352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71569591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79991125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14520282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22363893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97710049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74352934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97729803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206074127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51881151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82269527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41891253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63028899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2098355836">
    <w:abstractNumId w:val="2"/>
  </w:num>
  <w:num w:numId="42" w16cid:durableId="628508776">
    <w:abstractNumId w:val="3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8"/>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4059"/>
    <w:rsid w:val="000043C6"/>
    <w:rsid w:val="00005AB0"/>
    <w:rsid w:val="000076E9"/>
    <w:rsid w:val="000077D6"/>
    <w:rsid w:val="00007F5F"/>
    <w:rsid w:val="00014FBD"/>
    <w:rsid w:val="00015010"/>
    <w:rsid w:val="000224B2"/>
    <w:rsid w:val="00024CF5"/>
    <w:rsid w:val="0002651A"/>
    <w:rsid w:val="00030F71"/>
    <w:rsid w:val="0003657F"/>
    <w:rsid w:val="0004451C"/>
    <w:rsid w:val="0005226E"/>
    <w:rsid w:val="00071CB0"/>
    <w:rsid w:val="00074475"/>
    <w:rsid w:val="00094479"/>
    <w:rsid w:val="00094CBF"/>
    <w:rsid w:val="00097EFF"/>
    <w:rsid w:val="000A2CF8"/>
    <w:rsid w:val="000A7851"/>
    <w:rsid w:val="000A7BC6"/>
    <w:rsid w:val="000A7DAB"/>
    <w:rsid w:val="000B1ACF"/>
    <w:rsid w:val="000B2A46"/>
    <w:rsid w:val="000B3158"/>
    <w:rsid w:val="000B3EDF"/>
    <w:rsid w:val="000F3B78"/>
    <w:rsid w:val="000F5598"/>
    <w:rsid w:val="00124A94"/>
    <w:rsid w:val="001259E9"/>
    <w:rsid w:val="00126470"/>
    <w:rsid w:val="00130CF6"/>
    <w:rsid w:val="00132E91"/>
    <w:rsid w:val="00146AAD"/>
    <w:rsid w:val="00150626"/>
    <w:rsid w:val="00152C90"/>
    <w:rsid w:val="00153C31"/>
    <w:rsid w:val="00154C33"/>
    <w:rsid w:val="001606B6"/>
    <w:rsid w:val="00181CE7"/>
    <w:rsid w:val="00186989"/>
    <w:rsid w:val="00192EEE"/>
    <w:rsid w:val="00193E2F"/>
    <w:rsid w:val="0019594C"/>
    <w:rsid w:val="001A17B5"/>
    <w:rsid w:val="001A6DFF"/>
    <w:rsid w:val="001B3DA3"/>
    <w:rsid w:val="001B5014"/>
    <w:rsid w:val="001B50C3"/>
    <w:rsid w:val="001B7B10"/>
    <w:rsid w:val="001B7BFB"/>
    <w:rsid w:val="001E17E8"/>
    <w:rsid w:val="001E3BF7"/>
    <w:rsid w:val="001E56A8"/>
    <w:rsid w:val="001E5A29"/>
    <w:rsid w:val="001F0BAE"/>
    <w:rsid w:val="001F6E10"/>
    <w:rsid w:val="00206410"/>
    <w:rsid w:val="0022025E"/>
    <w:rsid w:val="002277F7"/>
    <w:rsid w:val="002325CF"/>
    <w:rsid w:val="00235048"/>
    <w:rsid w:val="0023504D"/>
    <w:rsid w:val="00235CF7"/>
    <w:rsid w:val="00241F1C"/>
    <w:rsid w:val="0024587E"/>
    <w:rsid w:val="00247609"/>
    <w:rsid w:val="00247946"/>
    <w:rsid w:val="00254BDE"/>
    <w:rsid w:val="002618A8"/>
    <w:rsid w:val="00277015"/>
    <w:rsid w:val="002902F4"/>
    <w:rsid w:val="002A1A56"/>
    <w:rsid w:val="002B00F4"/>
    <w:rsid w:val="002B437A"/>
    <w:rsid w:val="002C382C"/>
    <w:rsid w:val="002D0DCC"/>
    <w:rsid w:val="002D4986"/>
    <w:rsid w:val="002D6AAE"/>
    <w:rsid w:val="002F001C"/>
    <w:rsid w:val="002F070E"/>
    <w:rsid w:val="002F2C18"/>
    <w:rsid w:val="00313BCE"/>
    <w:rsid w:val="003259AD"/>
    <w:rsid w:val="003317C9"/>
    <w:rsid w:val="00333476"/>
    <w:rsid w:val="00336C7D"/>
    <w:rsid w:val="0033702C"/>
    <w:rsid w:val="0034112C"/>
    <w:rsid w:val="00347CBC"/>
    <w:rsid w:val="00356A2A"/>
    <w:rsid w:val="0036043D"/>
    <w:rsid w:val="00363CB8"/>
    <w:rsid w:val="003738B3"/>
    <w:rsid w:val="0038269A"/>
    <w:rsid w:val="003878C8"/>
    <w:rsid w:val="003A3C1C"/>
    <w:rsid w:val="003B423D"/>
    <w:rsid w:val="003B5A1F"/>
    <w:rsid w:val="003B70BD"/>
    <w:rsid w:val="003C2E19"/>
    <w:rsid w:val="003E431E"/>
    <w:rsid w:val="003E56BA"/>
    <w:rsid w:val="003E6321"/>
    <w:rsid w:val="00404014"/>
    <w:rsid w:val="00412509"/>
    <w:rsid w:val="00417583"/>
    <w:rsid w:val="004222E4"/>
    <w:rsid w:val="0043346B"/>
    <w:rsid w:val="00433864"/>
    <w:rsid w:val="00433992"/>
    <w:rsid w:val="00436A21"/>
    <w:rsid w:val="00447832"/>
    <w:rsid w:val="00452A91"/>
    <w:rsid w:val="00455A51"/>
    <w:rsid w:val="00457096"/>
    <w:rsid w:val="00461FA3"/>
    <w:rsid w:val="00464BDA"/>
    <w:rsid w:val="00470190"/>
    <w:rsid w:val="00473954"/>
    <w:rsid w:val="0048796E"/>
    <w:rsid w:val="00491B08"/>
    <w:rsid w:val="004968FC"/>
    <w:rsid w:val="004B79C1"/>
    <w:rsid w:val="004C1157"/>
    <w:rsid w:val="004C2F4A"/>
    <w:rsid w:val="004E02CB"/>
    <w:rsid w:val="004E15EF"/>
    <w:rsid w:val="004E6CAF"/>
    <w:rsid w:val="004F3A42"/>
    <w:rsid w:val="004F5BF5"/>
    <w:rsid w:val="004F6D20"/>
    <w:rsid w:val="004F7CF3"/>
    <w:rsid w:val="005042C2"/>
    <w:rsid w:val="0050793D"/>
    <w:rsid w:val="00530A5F"/>
    <w:rsid w:val="00540A65"/>
    <w:rsid w:val="00545869"/>
    <w:rsid w:val="00575E67"/>
    <w:rsid w:val="00590D08"/>
    <w:rsid w:val="00594E24"/>
    <w:rsid w:val="005A35CC"/>
    <w:rsid w:val="005B544C"/>
    <w:rsid w:val="005C1A49"/>
    <w:rsid w:val="005C6C82"/>
    <w:rsid w:val="005C6E26"/>
    <w:rsid w:val="005D0822"/>
    <w:rsid w:val="005E2DD2"/>
    <w:rsid w:val="005E2E21"/>
    <w:rsid w:val="005E47E2"/>
    <w:rsid w:val="005F2793"/>
    <w:rsid w:val="005F5642"/>
    <w:rsid w:val="006004AD"/>
    <w:rsid w:val="00614F10"/>
    <w:rsid w:val="00620C6B"/>
    <w:rsid w:val="006248F6"/>
    <w:rsid w:val="0063015F"/>
    <w:rsid w:val="0064019B"/>
    <w:rsid w:val="00641752"/>
    <w:rsid w:val="00642DAF"/>
    <w:rsid w:val="00652D0D"/>
    <w:rsid w:val="00654289"/>
    <w:rsid w:val="006548A2"/>
    <w:rsid w:val="00660445"/>
    <w:rsid w:val="00663E62"/>
    <w:rsid w:val="00671B2F"/>
    <w:rsid w:val="00671EF4"/>
    <w:rsid w:val="00674C73"/>
    <w:rsid w:val="00676856"/>
    <w:rsid w:val="006860BD"/>
    <w:rsid w:val="006873A6"/>
    <w:rsid w:val="00687956"/>
    <w:rsid w:val="006A14AA"/>
    <w:rsid w:val="006A1F92"/>
    <w:rsid w:val="006B1093"/>
    <w:rsid w:val="006B1CEE"/>
    <w:rsid w:val="006B38AD"/>
    <w:rsid w:val="006B6D10"/>
    <w:rsid w:val="006B7A76"/>
    <w:rsid w:val="006C4035"/>
    <w:rsid w:val="006C564E"/>
    <w:rsid w:val="006C73C2"/>
    <w:rsid w:val="006D0E4D"/>
    <w:rsid w:val="006E37B8"/>
    <w:rsid w:val="00702D77"/>
    <w:rsid w:val="00703AF8"/>
    <w:rsid w:val="007136B1"/>
    <w:rsid w:val="00717908"/>
    <w:rsid w:val="0072081F"/>
    <w:rsid w:val="00730B8F"/>
    <w:rsid w:val="00734E7C"/>
    <w:rsid w:val="00736E1B"/>
    <w:rsid w:val="00746ACA"/>
    <w:rsid w:val="00750508"/>
    <w:rsid w:val="00752548"/>
    <w:rsid w:val="0075298C"/>
    <w:rsid w:val="007538C6"/>
    <w:rsid w:val="00754E0F"/>
    <w:rsid w:val="0076503D"/>
    <w:rsid w:val="007654FB"/>
    <w:rsid w:val="007664DD"/>
    <w:rsid w:val="007801FF"/>
    <w:rsid w:val="00787CF4"/>
    <w:rsid w:val="007A556B"/>
    <w:rsid w:val="007B2FD8"/>
    <w:rsid w:val="007B4424"/>
    <w:rsid w:val="007B445F"/>
    <w:rsid w:val="007B4DCB"/>
    <w:rsid w:val="007B5328"/>
    <w:rsid w:val="007C19D4"/>
    <w:rsid w:val="007C1F33"/>
    <w:rsid w:val="007C4C98"/>
    <w:rsid w:val="007D5F6D"/>
    <w:rsid w:val="007D64F8"/>
    <w:rsid w:val="007D7768"/>
    <w:rsid w:val="007E3B65"/>
    <w:rsid w:val="007F2BF4"/>
    <w:rsid w:val="00802707"/>
    <w:rsid w:val="0080352A"/>
    <w:rsid w:val="00806A2D"/>
    <w:rsid w:val="00807189"/>
    <w:rsid w:val="00821C87"/>
    <w:rsid w:val="00827259"/>
    <w:rsid w:val="0083500F"/>
    <w:rsid w:val="00835271"/>
    <w:rsid w:val="00842999"/>
    <w:rsid w:val="0084629A"/>
    <w:rsid w:val="00846411"/>
    <w:rsid w:val="0085145A"/>
    <w:rsid w:val="00861B2E"/>
    <w:rsid w:val="00865384"/>
    <w:rsid w:val="008851D8"/>
    <w:rsid w:val="00891B2F"/>
    <w:rsid w:val="0089338F"/>
    <w:rsid w:val="008B563A"/>
    <w:rsid w:val="008B77F8"/>
    <w:rsid w:val="008C1BB4"/>
    <w:rsid w:val="008C7680"/>
    <w:rsid w:val="008D251E"/>
    <w:rsid w:val="008D312A"/>
    <w:rsid w:val="008D6D8B"/>
    <w:rsid w:val="008D7478"/>
    <w:rsid w:val="008F163E"/>
    <w:rsid w:val="00901E26"/>
    <w:rsid w:val="0090461D"/>
    <w:rsid w:val="00925413"/>
    <w:rsid w:val="00926622"/>
    <w:rsid w:val="00932455"/>
    <w:rsid w:val="00943094"/>
    <w:rsid w:val="009511A9"/>
    <w:rsid w:val="009607AB"/>
    <w:rsid w:val="0096081E"/>
    <w:rsid w:val="00975AFF"/>
    <w:rsid w:val="00990CEC"/>
    <w:rsid w:val="009B4272"/>
    <w:rsid w:val="009C32BB"/>
    <w:rsid w:val="009C641D"/>
    <w:rsid w:val="009E3384"/>
    <w:rsid w:val="009F00DA"/>
    <w:rsid w:val="00A00244"/>
    <w:rsid w:val="00A061F2"/>
    <w:rsid w:val="00A06F65"/>
    <w:rsid w:val="00A13F93"/>
    <w:rsid w:val="00A226BF"/>
    <w:rsid w:val="00A43142"/>
    <w:rsid w:val="00A46703"/>
    <w:rsid w:val="00A47021"/>
    <w:rsid w:val="00A61995"/>
    <w:rsid w:val="00A76A24"/>
    <w:rsid w:val="00A82E70"/>
    <w:rsid w:val="00A8403C"/>
    <w:rsid w:val="00A85E05"/>
    <w:rsid w:val="00A866C6"/>
    <w:rsid w:val="00A91532"/>
    <w:rsid w:val="00A95475"/>
    <w:rsid w:val="00AA15DD"/>
    <w:rsid w:val="00AA7A30"/>
    <w:rsid w:val="00AB49CE"/>
    <w:rsid w:val="00AC0961"/>
    <w:rsid w:val="00AC2964"/>
    <w:rsid w:val="00AD6F4E"/>
    <w:rsid w:val="00AE33D7"/>
    <w:rsid w:val="00AE5969"/>
    <w:rsid w:val="00AE7909"/>
    <w:rsid w:val="00AF2E61"/>
    <w:rsid w:val="00AF384F"/>
    <w:rsid w:val="00AF39C0"/>
    <w:rsid w:val="00AF78D0"/>
    <w:rsid w:val="00AF7D1F"/>
    <w:rsid w:val="00B028D9"/>
    <w:rsid w:val="00B0444E"/>
    <w:rsid w:val="00B13371"/>
    <w:rsid w:val="00B20258"/>
    <w:rsid w:val="00B2122F"/>
    <w:rsid w:val="00B54AFA"/>
    <w:rsid w:val="00B56690"/>
    <w:rsid w:val="00B63167"/>
    <w:rsid w:val="00B65E8B"/>
    <w:rsid w:val="00B726E1"/>
    <w:rsid w:val="00B758FD"/>
    <w:rsid w:val="00B813D7"/>
    <w:rsid w:val="00B84402"/>
    <w:rsid w:val="00B96081"/>
    <w:rsid w:val="00BA4727"/>
    <w:rsid w:val="00BA4AB1"/>
    <w:rsid w:val="00BA6DE8"/>
    <w:rsid w:val="00BB7470"/>
    <w:rsid w:val="00BC237A"/>
    <w:rsid w:val="00BC4BC4"/>
    <w:rsid w:val="00BC659E"/>
    <w:rsid w:val="00BD2EC5"/>
    <w:rsid w:val="00BD3786"/>
    <w:rsid w:val="00BD6973"/>
    <w:rsid w:val="00BD7462"/>
    <w:rsid w:val="00BE3C70"/>
    <w:rsid w:val="00BF26A0"/>
    <w:rsid w:val="00BF764E"/>
    <w:rsid w:val="00C03110"/>
    <w:rsid w:val="00C15225"/>
    <w:rsid w:val="00C1582C"/>
    <w:rsid w:val="00C23A74"/>
    <w:rsid w:val="00C46C71"/>
    <w:rsid w:val="00C5305E"/>
    <w:rsid w:val="00C55F7D"/>
    <w:rsid w:val="00C57FEC"/>
    <w:rsid w:val="00C701BE"/>
    <w:rsid w:val="00C75BA9"/>
    <w:rsid w:val="00C82567"/>
    <w:rsid w:val="00C9154C"/>
    <w:rsid w:val="00C96C03"/>
    <w:rsid w:val="00C979C0"/>
    <w:rsid w:val="00CA01B9"/>
    <w:rsid w:val="00CA7F28"/>
    <w:rsid w:val="00CB0B16"/>
    <w:rsid w:val="00CB3DFA"/>
    <w:rsid w:val="00CC087A"/>
    <w:rsid w:val="00CC2924"/>
    <w:rsid w:val="00CC7462"/>
    <w:rsid w:val="00CC7614"/>
    <w:rsid w:val="00CC7A88"/>
    <w:rsid w:val="00CD47FC"/>
    <w:rsid w:val="00CE6451"/>
    <w:rsid w:val="00CE724B"/>
    <w:rsid w:val="00D15C1F"/>
    <w:rsid w:val="00D22597"/>
    <w:rsid w:val="00D245DB"/>
    <w:rsid w:val="00D25BA1"/>
    <w:rsid w:val="00D34059"/>
    <w:rsid w:val="00D4416B"/>
    <w:rsid w:val="00D55CAB"/>
    <w:rsid w:val="00D60132"/>
    <w:rsid w:val="00D62FE1"/>
    <w:rsid w:val="00D715B5"/>
    <w:rsid w:val="00D71933"/>
    <w:rsid w:val="00D83603"/>
    <w:rsid w:val="00D871F5"/>
    <w:rsid w:val="00D92A20"/>
    <w:rsid w:val="00DA3AC4"/>
    <w:rsid w:val="00DA3F76"/>
    <w:rsid w:val="00DA7814"/>
    <w:rsid w:val="00DB42FD"/>
    <w:rsid w:val="00DB7ED0"/>
    <w:rsid w:val="00DC222F"/>
    <w:rsid w:val="00DD167E"/>
    <w:rsid w:val="00DE3F69"/>
    <w:rsid w:val="00DE7E66"/>
    <w:rsid w:val="00E01758"/>
    <w:rsid w:val="00E07922"/>
    <w:rsid w:val="00E24168"/>
    <w:rsid w:val="00E30AAB"/>
    <w:rsid w:val="00E32C1A"/>
    <w:rsid w:val="00E36307"/>
    <w:rsid w:val="00E415EC"/>
    <w:rsid w:val="00E446B2"/>
    <w:rsid w:val="00E51D94"/>
    <w:rsid w:val="00E53904"/>
    <w:rsid w:val="00E60E60"/>
    <w:rsid w:val="00E71851"/>
    <w:rsid w:val="00E91BF2"/>
    <w:rsid w:val="00EA3652"/>
    <w:rsid w:val="00EB21C3"/>
    <w:rsid w:val="00EB3E2A"/>
    <w:rsid w:val="00EC4245"/>
    <w:rsid w:val="00ED015A"/>
    <w:rsid w:val="00ED11BA"/>
    <w:rsid w:val="00F01BFD"/>
    <w:rsid w:val="00F07701"/>
    <w:rsid w:val="00F10858"/>
    <w:rsid w:val="00F14F33"/>
    <w:rsid w:val="00F21C25"/>
    <w:rsid w:val="00F23448"/>
    <w:rsid w:val="00F252B1"/>
    <w:rsid w:val="00F26523"/>
    <w:rsid w:val="00F40467"/>
    <w:rsid w:val="00F40FA9"/>
    <w:rsid w:val="00F42F62"/>
    <w:rsid w:val="00F52D61"/>
    <w:rsid w:val="00F55B5B"/>
    <w:rsid w:val="00F634DE"/>
    <w:rsid w:val="00F73D44"/>
    <w:rsid w:val="00F84DAB"/>
    <w:rsid w:val="00F851B7"/>
    <w:rsid w:val="00F86E04"/>
    <w:rsid w:val="00F86F36"/>
    <w:rsid w:val="00F96E83"/>
    <w:rsid w:val="00FA084E"/>
    <w:rsid w:val="00FA5304"/>
    <w:rsid w:val="00FA5A56"/>
    <w:rsid w:val="00FB78B9"/>
    <w:rsid w:val="00FC430C"/>
    <w:rsid w:val="00FC60B1"/>
    <w:rsid w:val="00FD3EDE"/>
    <w:rsid w:val="00FE168C"/>
    <w:rsid w:val="00FE197D"/>
    <w:rsid w:val="00FE51B7"/>
    <w:rsid w:val="00FF1EB5"/>
    <w:rsid w:val="00FF779F"/>
  </w:rsids>
  <m:mathPr>
    <m:mathFont m:val="Cambria Math"/>
    <m:brkBin m:val="before"/>
    <m:brkBinSub m:val="--"/>
    <m:smallFrac m:val="0"/>
    <m:dispDef/>
    <m:lMargin m:val="0"/>
    <m:rMargin m:val="0"/>
    <m:defJc m:val="centerGroup"/>
    <m:wrapIndent m:val="1440"/>
    <m:intLim m:val="subSup"/>
    <m:naryLim m:val="undOvr"/>
  </m:mathPr>
  <w:themeFontLang w:val="en-A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7A70FF"/>
  <w15:chartTrackingRefBased/>
  <w15:docId w15:val="{16AF3AC4-E6D4-4E70-BE0C-B9DB6FC93F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A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A01B9"/>
    <w:pPr>
      <w:keepNext/>
      <w:keepLines/>
      <w:spacing w:before="360" w:after="80"/>
      <w:outlineLvl w:val="0"/>
    </w:pPr>
    <w:rPr>
      <w:rFonts w:ascii="Abadi" w:eastAsiaTheme="majorEastAsia" w:hAnsi="Abadi" w:cstheme="majorBidi"/>
      <w:b/>
      <w:sz w:val="40"/>
      <w:szCs w:val="40"/>
    </w:rPr>
  </w:style>
  <w:style w:type="paragraph" w:styleId="Heading2">
    <w:name w:val="heading 2"/>
    <w:basedOn w:val="Normal"/>
    <w:next w:val="Normal"/>
    <w:link w:val="Heading2Char"/>
    <w:uiPriority w:val="9"/>
    <w:semiHidden/>
    <w:unhideWhenUsed/>
    <w:qFormat/>
    <w:rsid w:val="00D3405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D3405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3405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3405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3405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3405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3405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3405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A01B9"/>
    <w:rPr>
      <w:rFonts w:ascii="Abadi" w:eastAsiaTheme="majorEastAsia" w:hAnsi="Abadi" w:cstheme="majorBidi"/>
      <w:b/>
      <w:sz w:val="40"/>
      <w:szCs w:val="40"/>
    </w:rPr>
  </w:style>
  <w:style w:type="character" w:customStyle="1" w:styleId="Heading2Char">
    <w:name w:val="Heading 2 Char"/>
    <w:basedOn w:val="DefaultParagraphFont"/>
    <w:link w:val="Heading2"/>
    <w:uiPriority w:val="9"/>
    <w:rsid w:val="00D3405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D3405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3405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3405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3405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3405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3405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34059"/>
    <w:rPr>
      <w:rFonts w:eastAsiaTheme="majorEastAsia" w:cstheme="majorBidi"/>
      <w:color w:val="272727" w:themeColor="text1" w:themeTint="D8"/>
    </w:rPr>
  </w:style>
  <w:style w:type="paragraph" w:styleId="Title">
    <w:name w:val="Title"/>
    <w:basedOn w:val="Normal"/>
    <w:next w:val="Normal"/>
    <w:link w:val="TitleChar"/>
    <w:uiPriority w:val="10"/>
    <w:qFormat/>
    <w:rsid w:val="00D3405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3405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3405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3405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34059"/>
    <w:pPr>
      <w:spacing w:before="160"/>
      <w:jc w:val="center"/>
    </w:pPr>
    <w:rPr>
      <w:i/>
      <w:iCs/>
      <w:color w:val="404040" w:themeColor="text1" w:themeTint="BF"/>
    </w:rPr>
  </w:style>
  <w:style w:type="character" w:customStyle="1" w:styleId="QuoteChar">
    <w:name w:val="Quote Char"/>
    <w:basedOn w:val="DefaultParagraphFont"/>
    <w:link w:val="Quote"/>
    <w:uiPriority w:val="29"/>
    <w:rsid w:val="00D34059"/>
    <w:rPr>
      <w:i/>
      <w:iCs/>
      <w:color w:val="404040" w:themeColor="text1" w:themeTint="BF"/>
    </w:rPr>
  </w:style>
  <w:style w:type="paragraph" w:styleId="ListParagraph">
    <w:name w:val="List Paragraph"/>
    <w:basedOn w:val="Normal"/>
    <w:uiPriority w:val="34"/>
    <w:qFormat/>
    <w:rsid w:val="00D34059"/>
    <w:pPr>
      <w:ind w:left="720"/>
      <w:contextualSpacing/>
    </w:pPr>
  </w:style>
  <w:style w:type="character" w:styleId="IntenseEmphasis">
    <w:name w:val="Intense Emphasis"/>
    <w:basedOn w:val="DefaultParagraphFont"/>
    <w:uiPriority w:val="21"/>
    <w:qFormat/>
    <w:rsid w:val="00D34059"/>
    <w:rPr>
      <w:i/>
      <w:iCs/>
      <w:color w:val="0F4761" w:themeColor="accent1" w:themeShade="BF"/>
    </w:rPr>
  </w:style>
  <w:style w:type="paragraph" w:styleId="IntenseQuote">
    <w:name w:val="Intense Quote"/>
    <w:basedOn w:val="Normal"/>
    <w:next w:val="Normal"/>
    <w:link w:val="IntenseQuoteChar"/>
    <w:uiPriority w:val="30"/>
    <w:qFormat/>
    <w:rsid w:val="00D3405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34059"/>
    <w:rPr>
      <w:i/>
      <w:iCs/>
      <w:color w:val="0F4761" w:themeColor="accent1" w:themeShade="BF"/>
    </w:rPr>
  </w:style>
  <w:style w:type="character" w:styleId="IntenseReference">
    <w:name w:val="Intense Reference"/>
    <w:basedOn w:val="DefaultParagraphFont"/>
    <w:uiPriority w:val="32"/>
    <w:qFormat/>
    <w:rsid w:val="00D34059"/>
    <w:rPr>
      <w:b/>
      <w:bCs/>
      <w:smallCaps/>
      <w:color w:val="0F4761" w:themeColor="accent1" w:themeShade="BF"/>
      <w:spacing w:val="5"/>
    </w:rPr>
  </w:style>
  <w:style w:type="paragraph" w:styleId="NormalWeb">
    <w:name w:val="Normal (Web)"/>
    <w:basedOn w:val="Normal"/>
    <w:uiPriority w:val="99"/>
    <w:unhideWhenUsed/>
    <w:rsid w:val="00D3405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D34059"/>
    <w:rPr>
      <w:b/>
      <w:bCs/>
    </w:rPr>
  </w:style>
  <w:style w:type="character" w:customStyle="1" w:styleId="line-clamp-1">
    <w:name w:val="line-clamp-1"/>
    <w:basedOn w:val="DefaultParagraphFont"/>
    <w:rsid w:val="00D34059"/>
  </w:style>
  <w:style w:type="paragraph" w:styleId="Header">
    <w:name w:val="header"/>
    <w:basedOn w:val="Normal"/>
    <w:link w:val="HeaderChar"/>
    <w:uiPriority w:val="99"/>
    <w:unhideWhenUsed/>
    <w:rsid w:val="007529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75298C"/>
  </w:style>
  <w:style w:type="paragraph" w:styleId="Footer">
    <w:name w:val="footer"/>
    <w:basedOn w:val="Normal"/>
    <w:link w:val="FooterChar"/>
    <w:uiPriority w:val="99"/>
    <w:unhideWhenUsed/>
    <w:rsid w:val="007529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298C"/>
  </w:style>
  <w:style w:type="paragraph" w:styleId="TOCHeading">
    <w:name w:val="TOC Heading"/>
    <w:basedOn w:val="Heading1"/>
    <w:next w:val="Normal"/>
    <w:uiPriority w:val="39"/>
    <w:unhideWhenUsed/>
    <w:qFormat/>
    <w:rsid w:val="0036043D"/>
    <w:pPr>
      <w:spacing w:before="240" w:after="0"/>
      <w:outlineLvl w:val="9"/>
    </w:pPr>
    <w:rPr>
      <w:rFonts w:asciiTheme="majorHAnsi" w:hAnsiTheme="majorHAnsi"/>
      <w:b w:val="0"/>
      <w:color w:val="0F4761" w:themeColor="accent1" w:themeShade="BF"/>
      <w:kern w:val="0"/>
      <w:sz w:val="32"/>
      <w:szCs w:val="32"/>
      <w:lang w:val="en-US"/>
      <w14:ligatures w14:val="none"/>
    </w:rPr>
  </w:style>
  <w:style w:type="paragraph" w:styleId="TOC3">
    <w:name w:val="toc 3"/>
    <w:basedOn w:val="Normal"/>
    <w:next w:val="Normal"/>
    <w:autoRedefine/>
    <w:uiPriority w:val="39"/>
    <w:unhideWhenUsed/>
    <w:rsid w:val="0036043D"/>
    <w:pPr>
      <w:spacing w:after="100"/>
      <w:ind w:left="440"/>
    </w:pPr>
  </w:style>
  <w:style w:type="paragraph" w:styleId="TOC1">
    <w:name w:val="toc 1"/>
    <w:basedOn w:val="Normal"/>
    <w:next w:val="Normal"/>
    <w:autoRedefine/>
    <w:uiPriority w:val="39"/>
    <w:unhideWhenUsed/>
    <w:rsid w:val="0036043D"/>
    <w:pPr>
      <w:spacing w:after="100"/>
    </w:pPr>
  </w:style>
  <w:style w:type="character" w:styleId="Hyperlink">
    <w:name w:val="Hyperlink"/>
    <w:basedOn w:val="DefaultParagraphFont"/>
    <w:uiPriority w:val="99"/>
    <w:unhideWhenUsed/>
    <w:rsid w:val="0036043D"/>
    <w:rPr>
      <w:color w:val="467886" w:themeColor="hyperlink"/>
      <w:u w:val="single"/>
    </w:rPr>
  </w:style>
  <w:style w:type="paragraph" w:styleId="TOC2">
    <w:name w:val="toc 2"/>
    <w:basedOn w:val="Normal"/>
    <w:next w:val="Normal"/>
    <w:autoRedefine/>
    <w:uiPriority w:val="39"/>
    <w:unhideWhenUsed/>
    <w:rsid w:val="00B813D7"/>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21202">
      <w:bodyDiv w:val="1"/>
      <w:marLeft w:val="0"/>
      <w:marRight w:val="0"/>
      <w:marTop w:val="0"/>
      <w:marBottom w:val="0"/>
      <w:divBdr>
        <w:top w:val="none" w:sz="0" w:space="0" w:color="auto"/>
        <w:left w:val="none" w:sz="0" w:space="0" w:color="auto"/>
        <w:bottom w:val="none" w:sz="0" w:space="0" w:color="auto"/>
        <w:right w:val="none" w:sz="0" w:space="0" w:color="auto"/>
      </w:divBdr>
    </w:div>
    <w:div w:id="4213490">
      <w:bodyDiv w:val="1"/>
      <w:marLeft w:val="0"/>
      <w:marRight w:val="0"/>
      <w:marTop w:val="0"/>
      <w:marBottom w:val="0"/>
      <w:divBdr>
        <w:top w:val="none" w:sz="0" w:space="0" w:color="auto"/>
        <w:left w:val="none" w:sz="0" w:space="0" w:color="auto"/>
        <w:bottom w:val="none" w:sz="0" w:space="0" w:color="auto"/>
        <w:right w:val="none" w:sz="0" w:space="0" w:color="auto"/>
      </w:divBdr>
    </w:div>
    <w:div w:id="13574938">
      <w:bodyDiv w:val="1"/>
      <w:marLeft w:val="0"/>
      <w:marRight w:val="0"/>
      <w:marTop w:val="0"/>
      <w:marBottom w:val="0"/>
      <w:divBdr>
        <w:top w:val="none" w:sz="0" w:space="0" w:color="auto"/>
        <w:left w:val="none" w:sz="0" w:space="0" w:color="auto"/>
        <w:bottom w:val="none" w:sz="0" w:space="0" w:color="auto"/>
        <w:right w:val="none" w:sz="0" w:space="0" w:color="auto"/>
      </w:divBdr>
    </w:div>
    <w:div w:id="18508984">
      <w:bodyDiv w:val="1"/>
      <w:marLeft w:val="0"/>
      <w:marRight w:val="0"/>
      <w:marTop w:val="0"/>
      <w:marBottom w:val="0"/>
      <w:divBdr>
        <w:top w:val="none" w:sz="0" w:space="0" w:color="auto"/>
        <w:left w:val="none" w:sz="0" w:space="0" w:color="auto"/>
        <w:bottom w:val="none" w:sz="0" w:space="0" w:color="auto"/>
        <w:right w:val="none" w:sz="0" w:space="0" w:color="auto"/>
      </w:divBdr>
    </w:div>
    <w:div w:id="41953879">
      <w:bodyDiv w:val="1"/>
      <w:marLeft w:val="0"/>
      <w:marRight w:val="0"/>
      <w:marTop w:val="0"/>
      <w:marBottom w:val="0"/>
      <w:divBdr>
        <w:top w:val="none" w:sz="0" w:space="0" w:color="auto"/>
        <w:left w:val="none" w:sz="0" w:space="0" w:color="auto"/>
        <w:bottom w:val="none" w:sz="0" w:space="0" w:color="auto"/>
        <w:right w:val="none" w:sz="0" w:space="0" w:color="auto"/>
      </w:divBdr>
    </w:div>
    <w:div w:id="115027113">
      <w:bodyDiv w:val="1"/>
      <w:marLeft w:val="0"/>
      <w:marRight w:val="0"/>
      <w:marTop w:val="0"/>
      <w:marBottom w:val="0"/>
      <w:divBdr>
        <w:top w:val="none" w:sz="0" w:space="0" w:color="auto"/>
        <w:left w:val="none" w:sz="0" w:space="0" w:color="auto"/>
        <w:bottom w:val="none" w:sz="0" w:space="0" w:color="auto"/>
        <w:right w:val="none" w:sz="0" w:space="0" w:color="auto"/>
      </w:divBdr>
    </w:div>
    <w:div w:id="154953449">
      <w:bodyDiv w:val="1"/>
      <w:marLeft w:val="0"/>
      <w:marRight w:val="0"/>
      <w:marTop w:val="0"/>
      <w:marBottom w:val="0"/>
      <w:divBdr>
        <w:top w:val="none" w:sz="0" w:space="0" w:color="auto"/>
        <w:left w:val="none" w:sz="0" w:space="0" w:color="auto"/>
        <w:bottom w:val="none" w:sz="0" w:space="0" w:color="auto"/>
        <w:right w:val="none" w:sz="0" w:space="0" w:color="auto"/>
      </w:divBdr>
    </w:div>
    <w:div w:id="163130942">
      <w:bodyDiv w:val="1"/>
      <w:marLeft w:val="0"/>
      <w:marRight w:val="0"/>
      <w:marTop w:val="0"/>
      <w:marBottom w:val="0"/>
      <w:divBdr>
        <w:top w:val="none" w:sz="0" w:space="0" w:color="auto"/>
        <w:left w:val="none" w:sz="0" w:space="0" w:color="auto"/>
        <w:bottom w:val="none" w:sz="0" w:space="0" w:color="auto"/>
        <w:right w:val="none" w:sz="0" w:space="0" w:color="auto"/>
      </w:divBdr>
    </w:div>
    <w:div w:id="176045890">
      <w:bodyDiv w:val="1"/>
      <w:marLeft w:val="0"/>
      <w:marRight w:val="0"/>
      <w:marTop w:val="0"/>
      <w:marBottom w:val="0"/>
      <w:divBdr>
        <w:top w:val="none" w:sz="0" w:space="0" w:color="auto"/>
        <w:left w:val="none" w:sz="0" w:space="0" w:color="auto"/>
        <w:bottom w:val="none" w:sz="0" w:space="0" w:color="auto"/>
        <w:right w:val="none" w:sz="0" w:space="0" w:color="auto"/>
      </w:divBdr>
    </w:div>
    <w:div w:id="188760697">
      <w:bodyDiv w:val="1"/>
      <w:marLeft w:val="0"/>
      <w:marRight w:val="0"/>
      <w:marTop w:val="0"/>
      <w:marBottom w:val="0"/>
      <w:divBdr>
        <w:top w:val="none" w:sz="0" w:space="0" w:color="auto"/>
        <w:left w:val="none" w:sz="0" w:space="0" w:color="auto"/>
        <w:bottom w:val="none" w:sz="0" w:space="0" w:color="auto"/>
        <w:right w:val="none" w:sz="0" w:space="0" w:color="auto"/>
      </w:divBdr>
    </w:div>
    <w:div w:id="195430007">
      <w:bodyDiv w:val="1"/>
      <w:marLeft w:val="0"/>
      <w:marRight w:val="0"/>
      <w:marTop w:val="0"/>
      <w:marBottom w:val="0"/>
      <w:divBdr>
        <w:top w:val="none" w:sz="0" w:space="0" w:color="auto"/>
        <w:left w:val="none" w:sz="0" w:space="0" w:color="auto"/>
        <w:bottom w:val="none" w:sz="0" w:space="0" w:color="auto"/>
        <w:right w:val="none" w:sz="0" w:space="0" w:color="auto"/>
      </w:divBdr>
    </w:div>
    <w:div w:id="210964567">
      <w:bodyDiv w:val="1"/>
      <w:marLeft w:val="0"/>
      <w:marRight w:val="0"/>
      <w:marTop w:val="0"/>
      <w:marBottom w:val="0"/>
      <w:divBdr>
        <w:top w:val="none" w:sz="0" w:space="0" w:color="auto"/>
        <w:left w:val="none" w:sz="0" w:space="0" w:color="auto"/>
        <w:bottom w:val="none" w:sz="0" w:space="0" w:color="auto"/>
        <w:right w:val="none" w:sz="0" w:space="0" w:color="auto"/>
      </w:divBdr>
    </w:div>
    <w:div w:id="215162412">
      <w:bodyDiv w:val="1"/>
      <w:marLeft w:val="0"/>
      <w:marRight w:val="0"/>
      <w:marTop w:val="0"/>
      <w:marBottom w:val="0"/>
      <w:divBdr>
        <w:top w:val="none" w:sz="0" w:space="0" w:color="auto"/>
        <w:left w:val="none" w:sz="0" w:space="0" w:color="auto"/>
        <w:bottom w:val="none" w:sz="0" w:space="0" w:color="auto"/>
        <w:right w:val="none" w:sz="0" w:space="0" w:color="auto"/>
      </w:divBdr>
    </w:div>
    <w:div w:id="236088609">
      <w:bodyDiv w:val="1"/>
      <w:marLeft w:val="0"/>
      <w:marRight w:val="0"/>
      <w:marTop w:val="0"/>
      <w:marBottom w:val="0"/>
      <w:divBdr>
        <w:top w:val="none" w:sz="0" w:space="0" w:color="auto"/>
        <w:left w:val="none" w:sz="0" w:space="0" w:color="auto"/>
        <w:bottom w:val="none" w:sz="0" w:space="0" w:color="auto"/>
        <w:right w:val="none" w:sz="0" w:space="0" w:color="auto"/>
      </w:divBdr>
      <w:divsChild>
        <w:div w:id="1582987017">
          <w:marLeft w:val="0"/>
          <w:marRight w:val="0"/>
          <w:marTop w:val="0"/>
          <w:marBottom w:val="0"/>
          <w:divBdr>
            <w:top w:val="none" w:sz="0" w:space="0" w:color="auto"/>
            <w:left w:val="none" w:sz="0" w:space="0" w:color="auto"/>
            <w:bottom w:val="none" w:sz="0" w:space="0" w:color="auto"/>
            <w:right w:val="none" w:sz="0" w:space="0" w:color="auto"/>
          </w:divBdr>
          <w:divsChild>
            <w:div w:id="796528994">
              <w:marLeft w:val="0"/>
              <w:marRight w:val="0"/>
              <w:marTop w:val="0"/>
              <w:marBottom w:val="0"/>
              <w:divBdr>
                <w:top w:val="none" w:sz="0" w:space="0" w:color="auto"/>
                <w:left w:val="none" w:sz="0" w:space="0" w:color="auto"/>
                <w:bottom w:val="none" w:sz="0" w:space="0" w:color="auto"/>
                <w:right w:val="none" w:sz="0" w:space="0" w:color="auto"/>
              </w:divBdr>
              <w:divsChild>
                <w:div w:id="1244100204">
                  <w:marLeft w:val="0"/>
                  <w:marRight w:val="0"/>
                  <w:marTop w:val="0"/>
                  <w:marBottom w:val="0"/>
                  <w:divBdr>
                    <w:top w:val="none" w:sz="0" w:space="0" w:color="auto"/>
                    <w:left w:val="none" w:sz="0" w:space="0" w:color="auto"/>
                    <w:bottom w:val="none" w:sz="0" w:space="0" w:color="auto"/>
                    <w:right w:val="none" w:sz="0" w:space="0" w:color="auto"/>
                  </w:divBdr>
                  <w:divsChild>
                    <w:div w:id="992686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14809">
          <w:marLeft w:val="0"/>
          <w:marRight w:val="0"/>
          <w:marTop w:val="0"/>
          <w:marBottom w:val="0"/>
          <w:divBdr>
            <w:top w:val="none" w:sz="0" w:space="0" w:color="auto"/>
            <w:left w:val="none" w:sz="0" w:space="0" w:color="auto"/>
            <w:bottom w:val="none" w:sz="0" w:space="0" w:color="auto"/>
            <w:right w:val="none" w:sz="0" w:space="0" w:color="auto"/>
          </w:divBdr>
          <w:divsChild>
            <w:div w:id="458843320">
              <w:marLeft w:val="0"/>
              <w:marRight w:val="0"/>
              <w:marTop w:val="0"/>
              <w:marBottom w:val="0"/>
              <w:divBdr>
                <w:top w:val="none" w:sz="0" w:space="0" w:color="auto"/>
                <w:left w:val="none" w:sz="0" w:space="0" w:color="auto"/>
                <w:bottom w:val="none" w:sz="0" w:space="0" w:color="auto"/>
                <w:right w:val="none" w:sz="0" w:space="0" w:color="auto"/>
              </w:divBdr>
              <w:divsChild>
                <w:div w:id="1526017098">
                  <w:marLeft w:val="0"/>
                  <w:marRight w:val="0"/>
                  <w:marTop w:val="0"/>
                  <w:marBottom w:val="0"/>
                  <w:divBdr>
                    <w:top w:val="none" w:sz="0" w:space="0" w:color="auto"/>
                    <w:left w:val="none" w:sz="0" w:space="0" w:color="auto"/>
                    <w:bottom w:val="none" w:sz="0" w:space="0" w:color="auto"/>
                    <w:right w:val="none" w:sz="0" w:space="0" w:color="auto"/>
                  </w:divBdr>
                  <w:divsChild>
                    <w:div w:id="75012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4849676">
      <w:bodyDiv w:val="1"/>
      <w:marLeft w:val="0"/>
      <w:marRight w:val="0"/>
      <w:marTop w:val="0"/>
      <w:marBottom w:val="0"/>
      <w:divBdr>
        <w:top w:val="none" w:sz="0" w:space="0" w:color="auto"/>
        <w:left w:val="none" w:sz="0" w:space="0" w:color="auto"/>
        <w:bottom w:val="none" w:sz="0" w:space="0" w:color="auto"/>
        <w:right w:val="none" w:sz="0" w:space="0" w:color="auto"/>
      </w:divBdr>
    </w:div>
    <w:div w:id="258608907">
      <w:bodyDiv w:val="1"/>
      <w:marLeft w:val="0"/>
      <w:marRight w:val="0"/>
      <w:marTop w:val="0"/>
      <w:marBottom w:val="0"/>
      <w:divBdr>
        <w:top w:val="none" w:sz="0" w:space="0" w:color="auto"/>
        <w:left w:val="none" w:sz="0" w:space="0" w:color="auto"/>
        <w:bottom w:val="none" w:sz="0" w:space="0" w:color="auto"/>
        <w:right w:val="none" w:sz="0" w:space="0" w:color="auto"/>
      </w:divBdr>
    </w:div>
    <w:div w:id="324750570">
      <w:bodyDiv w:val="1"/>
      <w:marLeft w:val="0"/>
      <w:marRight w:val="0"/>
      <w:marTop w:val="0"/>
      <w:marBottom w:val="0"/>
      <w:divBdr>
        <w:top w:val="none" w:sz="0" w:space="0" w:color="auto"/>
        <w:left w:val="none" w:sz="0" w:space="0" w:color="auto"/>
        <w:bottom w:val="none" w:sz="0" w:space="0" w:color="auto"/>
        <w:right w:val="none" w:sz="0" w:space="0" w:color="auto"/>
      </w:divBdr>
    </w:div>
    <w:div w:id="346296401">
      <w:bodyDiv w:val="1"/>
      <w:marLeft w:val="0"/>
      <w:marRight w:val="0"/>
      <w:marTop w:val="0"/>
      <w:marBottom w:val="0"/>
      <w:divBdr>
        <w:top w:val="none" w:sz="0" w:space="0" w:color="auto"/>
        <w:left w:val="none" w:sz="0" w:space="0" w:color="auto"/>
        <w:bottom w:val="none" w:sz="0" w:space="0" w:color="auto"/>
        <w:right w:val="none" w:sz="0" w:space="0" w:color="auto"/>
      </w:divBdr>
    </w:div>
    <w:div w:id="348144569">
      <w:bodyDiv w:val="1"/>
      <w:marLeft w:val="0"/>
      <w:marRight w:val="0"/>
      <w:marTop w:val="0"/>
      <w:marBottom w:val="0"/>
      <w:divBdr>
        <w:top w:val="none" w:sz="0" w:space="0" w:color="auto"/>
        <w:left w:val="none" w:sz="0" w:space="0" w:color="auto"/>
        <w:bottom w:val="none" w:sz="0" w:space="0" w:color="auto"/>
        <w:right w:val="none" w:sz="0" w:space="0" w:color="auto"/>
      </w:divBdr>
    </w:div>
    <w:div w:id="371462611">
      <w:bodyDiv w:val="1"/>
      <w:marLeft w:val="0"/>
      <w:marRight w:val="0"/>
      <w:marTop w:val="0"/>
      <w:marBottom w:val="0"/>
      <w:divBdr>
        <w:top w:val="none" w:sz="0" w:space="0" w:color="auto"/>
        <w:left w:val="none" w:sz="0" w:space="0" w:color="auto"/>
        <w:bottom w:val="none" w:sz="0" w:space="0" w:color="auto"/>
        <w:right w:val="none" w:sz="0" w:space="0" w:color="auto"/>
      </w:divBdr>
    </w:div>
    <w:div w:id="387219207">
      <w:bodyDiv w:val="1"/>
      <w:marLeft w:val="0"/>
      <w:marRight w:val="0"/>
      <w:marTop w:val="0"/>
      <w:marBottom w:val="0"/>
      <w:divBdr>
        <w:top w:val="none" w:sz="0" w:space="0" w:color="auto"/>
        <w:left w:val="none" w:sz="0" w:space="0" w:color="auto"/>
        <w:bottom w:val="none" w:sz="0" w:space="0" w:color="auto"/>
        <w:right w:val="none" w:sz="0" w:space="0" w:color="auto"/>
      </w:divBdr>
    </w:div>
    <w:div w:id="397947396">
      <w:bodyDiv w:val="1"/>
      <w:marLeft w:val="0"/>
      <w:marRight w:val="0"/>
      <w:marTop w:val="0"/>
      <w:marBottom w:val="0"/>
      <w:divBdr>
        <w:top w:val="none" w:sz="0" w:space="0" w:color="auto"/>
        <w:left w:val="none" w:sz="0" w:space="0" w:color="auto"/>
        <w:bottom w:val="none" w:sz="0" w:space="0" w:color="auto"/>
        <w:right w:val="none" w:sz="0" w:space="0" w:color="auto"/>
      </w:divBdr>
    </w:div>
    <w:div w:id="411855428">
      <w:bodyDiv w:val="1"/>
      <w:marLeft w:val="0"/>
      <w:marRight w:val="0"/>
      <w:marTop w:val="0"/>
      <w:marBottom w:val="0"/>
      <w:divBdr>
        <w:top w:val="none" w:sz="0" w:space="0" w:color="auto"/>
        <w:left w:val="none" w:sz="0" w:space="0" w:color="auto"/>
        <w:bottom w:val="none" w:sz="0" w:space="0" w:color="auto"/>
        <w:right w:val="none" w:sz="0" w:space="0" w:color="auto"/>
      </w:divBdr>
    </w:div>
    <w:div w:id="413939469">
      <w:bodyDiv w:val="1"/>
      <w:marLeft w:val="0"/>
      <w:marRight w:val="0"/>
      <w:marTop w:val="0"/>
      <w:marBottom w:val="0"/>
      <w:divBdr>
        <w:top w:val="none" w:sz="0" w:space="0" w:color="auto"/>
        <w:left w:val="none" w:sz="0" w:space="0" w:color="auto"/>
        <w:bottom w:val="none" w:sz="0" w:space="0" w:color="auto"/>
        <w:right w:val="none" w:sz="0" w:space="0" w:color="auto"/>
      </w:divBdr>
    </w:div>
    <w:div w:id="503016983">
      <w:bodyDiv w:val="1"/>
      <w:marLeft w:val="0"/>
      <w:marRight w:val="0"/>
      <w:marTop w:val="0"/>
      <w:marBottom w:val="0"/>
      <w:divBdr>
        <w:top w:val="none" w:sz="0" w:space="0" w:color="auto"/>
        <w:left w:val="none" w:sz="0" w:space="0" w:color="auto"/>
        <w:bottom w:val="none" w:sz="0" w:space="0" w:color="auto"/>
        <w:right w:val="none" w:sz="0" w:space="0" w:color="auto"/>
      </w:divBdr>
    </w:div>
    <w:div w:id="525604126">
      <w:bodyDiv w:val="1"/>
      <w:marLeft w:val="0"/>
      <w:marRight w:val="0"/>
      <w:marTop w:val="0"/>
      <w:marBottom w:val="0"/>
      <w:divBdr>
        <w:top w:val="none" w:sz="0" w:space="0" w:color="auto"/>
        <w:left w:val="none" w:sz="0" w:space="0" w:color="auto"/>
        <w:bottom w:val="none" w:sz="0" w:space="0" w:color="auto"/>
        <w:right w:val="none" w:sz="0" w:space="0" w:color="auto"/>
      </w:divBdr>
    </w:div>
    <w:div w:id="544368122">
      <w:bodyDiv w:val="1"/>
      <w:marLeft w:val="0"/>
      <w:marRight w:val="0"/>
      <w:marTop w:val="0"/>
      <w:marBottom w:val="0"/>
      <w:divBdr>
        <w:top w:val="none" w:sz="0" w:space="0" w:color="auto"/>
        <w:left w:val="none" w:sz="0" w:space="0" w:color="auto"/>
        <w:bottom w:val="none" w:sz="0" w:space="0" w:color="auto"/>
        <w:right w:val="none" w:sz="0" w:space="0" w:color="auto"/>
      </w:divBdr>
    </w:div>
    <w:div w:id="563687411">
      <w:bodyDiv w:val="1"/>
      <w:marLeft w:val="0"/>
      <w:marRight w:val="0"/>
      <w:marTop w:val="0"/>
      <w:marBottom w:val="0"/>
      <w:divBdr>
        <w:top w:val="none" w:sz="0" w:space="0" w:color="auto"/>
        <w:left w:val="none" w:sz="0" w:space="0" w:color="auto"/>
        <w:bottom w:val="none" w:sz="0" w:space="0" w:color="auto"/>
        <w:right w:val="none" w:sz="0" w:space="0" w:color="auto"/>
      </w:divBdr>
      <w:divsChild>
        <w:div w:id="1273318381">
          <w:marLeft w:val="0"/>
          <w:marRight w:val="0"/>
          <w:marTop w:val="0"/>
          <w:marBottom w:val="0"/>
          <w:divBdr>
            <w:top w:val="none" w:sz="0" w:space="0" w:color="auto"/>
            <w:left w:val="none" w:sz="0" w:space="0" w:color="auto"/>
            <w:bottom w:val="none" w:sz="0" w:space="0" w:color="auto"/>
            <w:right w:val="none" w:sz="0" w:space="0" w:color="auto"/>
          </w:divBdr>
          <w:divsChild>
            <w:div w:id="119762900">
              <w:marLeft w:val="0"/>
              <w:marRight w:val="0"/>
              <w:marTop w:val="0"/>
              <w:marBottom w:val="0"/>
              <w:divBdr>
                <w:top w:val="none" w:sz="0" w:space="0" w:color="auto"/>
                <w:left w:val="none" w:sz="0" w:space="0" w:color="auto"/>
                <w:bottom w:val="none" w:sz="0" w:space="0" w:color="auto"/>
                <w:right w:val="none" w:sz="0" w:space="0" w:color="auto"/>
              </w:divBdr>
              <w:divsChild>
                <w:div w:id="526600267">
                  <w:marLeft w:val="0"/>
                  <w:marRight w:val="0"/>
                  <w:marTop w:val="0"/>
                  <w:marBottom w:val="0"/>
                  <w:divBdr>
                    <w:top w:val="none" w:sz="0" w:space="0" w:color="auto"/>
                    <w:left w:val="none" w:sz="0" w:space="0" w:color="auto"/>
                    <w:bottom w:val="none" w:sz="0" w:space="0" w:color="auto"/>
                    <w:right w:val="none" w:sz="0" w:space="0" w:color="auto"/>
                  </w:divBdr>
                  <w:divsChild>
                    <w:div w:id="67534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817325">
          <w:marLeft w:val="0"/>
          <w:marRight w:val="0"/>
          <w:marTop w:val="0"/>
          <w:marBottom w:val="0"/>
          <w:divBdr>
            <w:top w:val="none" w:sz="0" w:space="0" w:color="auto"/>
            <w:left w:val="none" w:sz="0" w:space="0" w:color="auto"/>
            <w:bottom w:val="none" w:sz="0" w:space="0" w:color="auto"/>
            <w:right w:val="none" w:sz="0" w:space="0" w:color="auto"/>
          </w:divBdr>
          <w:divsChild>
            <w:div w:id="1735009486">
              <w:marLeft w:val="0"/>
              <w:marRight w:val="0"/>
              <w:marTop w:val="0"/>
              <w:marBottom w:val="0"/>
              <w:divBdr>
                <w:top w:val="none" w:sz="0" w:space="0" w:color="auto"/>
                <w:left w:val="none" w:sz="0" w:space="0" w:color="auto"/>
                <w:bottom w:val="none" w:sz="0" w:space="0" w:color="auto"/>
                <w:right w:val="none" w:sz="0" w:space="0" w:color="auto"/>
              </w:divBdr>
              <w:divsChild>
                <w:div w:id="1216238477">
                  <w:marLeft w:val="0"/>
                  <w:marRight w:val="0"/>
                  <w:marTop w:val="0"/>
                  <w:marBottom w:val="0"/>
                  <w:divBdr>
                    <w:top w:val="none" w:sz="0" w:space="0" w:color="auto"/>
                    <w:left w:val="none" w:sz="0" w:space="0" w:color="auto"/>
                    <w:bottom w:val="none" w:sz="0" w:space="0" w:color="auto"/>
                    <w:right w:val="none" w:sz="0" w:space="0" w:color="auto"/>
                  </w:divBdr>
                  <w:divsChild>
                    <w:div w:id="171881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0867245">
      <w:bodyDiv w:val="1"/>
      <w:marLeft w:val="0"/>
      <w:marRight w:val="0"/>
      <w:marTop w:val="0"/>
      <w:marBottom w:val="0"/>
      <w:divBdr>
        <w:top w:val="none" w:sz="0" w:space="0" w:color="auto"/>
        <w:left w:val="none" w:sz="0" w:space="0" w:color="auto"/>
        <w:bottom w:val="none" w:sz="0" w:space="0" w:color="auto"/>
        <w:right w:val="none" w:sz="0" w:space="0" w:color="auto"/>
      </w:divBdr>
    </w:div>
    <w:div w:id="663894748">
      <w:bodyDiv w:val="1"/>
      <w:marLeft w:val="0"/>
      <w:marRight w:val="0"/>
      <w:marTop w:val="0"/>
      <w:marBottom w:val="0"/>
      <w:divBdr>
        <w:top w:val="none" w:sz="0" w:space="0" w:color="auto"/>
        <w:left w:val="none" w:sz="0" w:space="0" w:color="auto"/>
        <w:bottom w:val="none" w:sz="0" w:space="0" w:color="auto"/>
        <w:right w:val="none" w:sz="0" w:space="0" w:color="auto"/>
      </w:divBdr>
    </w:div>
    <w:div w:id="668367719">
      <w:bodyDiv w:val="1"/>
      <w:marLeft w:val="0"/>
      <w:marRight w:val="0"/>
      <w:marTop w:val="0"/>
      <w:marBottom w:val="0"/>
      <w:divBdr>
        <w:top w:val="none" w:sz="0" w:space="0" w:color="auto"/>
        <w:left w:val="none" w:sz="0" w:space="0" w:color="auto"/>
        <w:bottom w:val="none" w:sz="0" w:space="0" w:color="auto"/>
        <w:right w:val="none" w:sz="0" w:space="0" w:color="auto"/>
      </w:divBdr>
    </w:div>
    <w:div w:id="712464162">
      <w:bodyDiv w:val="1"/>
      <w:marLeft w:val="0"/>
      <w:marRight w:val="0"/>
      <w:marTop w:val="0"/>
      <w:marBottom w:val="0"/>
      <w:divBdr>
        <w:top w:val="none" w:sz="0" w:space="0" w:color="auto"/>
        <w:left w:val="none" w:sz="0" w:space="0" w:color="auto"/>
        <w:bottom w:val="none" w:sz="0" w:space="0" w:color="auto"/>
        <w:right w:val="none" w:sz="0" w:space="0" w:color="auto"/>
      </w:divBdr>
    </w:div>
    <w:div w:id="733741215">
      <w:bodyDiv w:val="1"/>
      <w:marLeft w:val="0"/>
      <w:marRight w:val="0"/>
      <w:marTop w:val="0"/>
      <w:marBottom w:val="0"/>
      <w:divBdr>
        <w:top w:val="none" w:sz="0" w:space="0" w:color="auto"/>
        <w:left w:val="none" w:sz="0" w:space="0" w:color="auto"/>
        <w:bottom w:val="none" w:sz="0" w:space="0" w:color="auto"/>
        <w:right w:val="none" w:sz="0" w:space="0" w:color="auto"/>
      </w:divBdr>
    </w:div>
    <w:div w:id="767891636">
      <w:bodyDiv w:val="1"/>
      <w:marLeft w:val="0"/>
      <w:marRight w:val="0"/>
      <w:marTop w:val="0"/>
      <w:marBottom w:val="0"/>
      <w:divBdr>
        <w:top w:val="none" w:sz="0" w:space="0" w:color="auto"/>
        <w:left w:val="none" w:sz="0" w:space="0" w:color="auto"/>
        <w:bottom w:val="none" w:sz="0" w:space="0" w:color="auto"/>
        <w:right w:val="none" w:sz="0" w:space="0" w:color="auto"/>
      </w:divBdr>
    </w:div>
    <w:div w:id="771239174">
      <w:bodyDiv w:val="1"/>
      <w:marLeft w:val="0"/>
      <w:marRight w:val="0"/>
      <w:marTop w:val="0"/>
      <w:marBottom w:val="0"/>
      <w:divBdr>
        <w:top w:val="none" w:sz="0" w:space="0" w:color="auto"/>
        <w:left w:val="none" w:sz="0" w:space="0" w:color="auto"/>
        <w:bottom w:val="none" w:sz="0" w:space="0" w:color="auto"/>
        <w:right w:val="none" w:sz="0" w:space="0" w:color="auto"/>
      </w:divBdr>
    </w:div>
    <w:div w:id="773667070">
      <w:bodyDiv w:val="1"/>
      <w:marLeft w:val="0"/>
      <w:marRight w:val="0"/>
      <w:marTop w:val="0"/>
      <w:marBottom w:val="0"/>
      <w:divBdr>
        <w:top w:val="none" w:sz="0" w:space="0" w:color="auto"/>
        <w:left w:val="none" w:sz="0" w:space="0" w:color="auto"/>
        <w:bottom w:val="none" w:sz="0" w:space="0" w:color="auto"/>
        <w:right w:val="none" w:sz="0" w:space="0" w:color="auto"/>
      </w:divBdr>
    </w:div>
    <w:div w:id="777872295">
      <w:bodyDiv w:val="1"/>
      <w:marLeft w:val="0"/>
      <w:marRight w:val="0"/>
      <w:marTop w:val="0"/>
      <w:marBottom w:val="0"/>
      <w:divBdr>
        <w:top w:val="none" w:sz="0" w:space="0" w:color="auto"/>
        <w:left w:val="none" w:sz="0" w:space="0" w:color="auto"/>
        <w:bottom w:val="none" w:sz="0" w:space="0" w:color="auto"/>
        <w:right w:val="none" w:sz="0" w:space="0" w:color="auto"/>
      </w:divBdr>
    </w:div>
    <w:div w:id="789057439">
      <w:bodyDiv w:val="1"/>
      <w:marLeft w:val="0"/>
      <w:marRight w:val="0"/>
      <w:marTop w:val="0"/>
      <w:marBottom w:val="0"/>
      <w:divBdr>
        <w:top w:val="none" w:sz="0" w:space="0" w:color="auto"/>
        <w:left w:val="none" w:sz="0" w:space="0" w:color="auto"/>
        <w:bottom w:val="none" w:sz="0" w:space="0" w:color="auto"/>
        <w:right w:val="none" w:sz="0" w:space="0" w:color="auto"/>
      </w:divBdr>
    </w:div>
    <w:div w:id="840318833">
      <w:bodyDiv w:val="1"/>
      <w:marLeft w:val="0"/>
      <w:marRight w:val="0"/>
      <w:marTop w:val="0"/>
      <w:marBottom w:val="0"/>
      <w:divBdr>
        <w:top w:val="none" w:sz="0" w:space="0" w:color="auto"/>
        <w:left w:val="none" w:sz="0" w:space="0" w:color="auto"/>
        <w:bottom w:val="none" w:sz="0" w:space="0" w:color="auto"/>
        <w:right w:val="none" w:sz="0" w:space="0" w:color="auto"/>
      </w:divBdr>
    </w:div>
    <w:div w:id="848715696">
      <w:bodyDiv w:val="1"/>
      <w:marLeft w:val="0"/>
      <w:marRight w:val="0"/>
      <w:marTop w:val="0"/>
      <w:marBottom w:val="0"/>
      <w:divBdr>
        <w:top w:val="none" w:sz="0" w:space="0" w:color="auto"/>
        <w:left w:val="none" w:sz="0" w:space="0" w:color="auto"/>
        <w:bottom w:val="none" w:sz="0" w:space="0" w:color="auto"/>
        <w:right w:val="none" w:sz="0" w:space="0" w:color="auto"/>
      </w:divBdr>
    </w:div>
    <w:div w:id="880096227">
      <w:bodyDiv w:val="1"/>
      <w:marLeft w:val="0"/>
      <w:marRight w:val="0"/>
      <w:marTop w:val="0"/>
      <w:marBottom w:val="0"/>
      <w:divBdr>
        <w:top w:val="none" w:sz="0" w:space="0" w:color="auto"/>
        <w:left w:val="none" w:sz="0" w:space="0" w:color="auto"/>
        <w:bottom w:val="none" w:sz="0" w:space="0" w:color="auto"/>
        <w:right w:val="none" w:sz="0" w:space="0" w:color="auto"/>
      </w:divBdr>
    </w:div>
    <w:div w:id="916747084">
      <w:bodyDiv w:val="1"/>
      <w:marLeft w:val="0"/>
      <w:marRight w:val="0"/>
      <w:marTop w:val="0"/>
      <w:marBottom w:val="0"/>
      <w:divBdr>
        <w:top w:val="none" w:sz="0" w:space="0" w:color="auto"/>
        <w:left w:val="none" w:sz="0" w:space="0" w:color="auto"/>
        <w:bottom w:val="none" w:sz="0" w:space="0" w:color="auto"/>
        <w:right w:val="none" w:sz="0" w:space="0" w:color="auto"/>
      </w:divBdr>
    </w:div>
    <w:div w:id="947156706">
      <w:bodyDiv w:val="1"/>
      <w:marLeft w:val="0"/>
      <w:marRight w:val="0"/>
      <w:marTop w:val="0"/>
      <w:marBottom w:val="0"/>
      <w:divBdr>
        <w:top w:val="none" w:sz="0" w:space="0" w:color="auto"/>
        <w:left w:val="none" w:sz="0" w:space="0" w:color="auto"/>
        <w:bottom w:val="none" w:sz="0" w:space="0" w:color="auto"/>
        <w:right w:val="none" w:sz="0" w:space="0" w:color="auto"/>
      </w:divBdr>
      <w:divsChild>
        <w:div w:id="2114938989">
          <w:marLeft w:val="0"/>
          <w:marRight w:val="0"/>
          <w:marTop w:val="0"/>
          <w:marBottom w:val="0"/>
          <w:divBdr>
            <w:top w:val="none" w:sz="0" w:space="0" w:color="auto"/>
            <w:left w:val="none" w:sz="0" w:space="0" w:color="auto"/>
            <w:bottom w:val="none" w:sz="0" w:space="0" w:color="auto"/>
            <w:right w:val="none" w:sz="0" w:space="0" w:color="auto"/>
          </w:divBdr>
          <w:divsChild>
            <w:div w:id="1074429897">
              <w:marLeft w:val="0"/>
              <w:marRight w:val="0"/>
              <w:marTop w:val="0"/>
              <w:marBottom w:val="0"/>
              <w:divBdr>
                <w:top w:val="none" w:sz="0" w:space="0" w:color="auto"/>
                <w:left w:val="none" w:sz="0" w:space="0" w:color="auto"/>
                <w:bottom w:val="none" w:sz="0" w:space="0" w:color="auto"/>
                <w:right w:val="none" w:sz="0" w:space="0" w:color="auto"/>
              </w:divBdr>
              <w:divsChild>
                <w:div w:id="1779063686">
                  <w:marLeft w:val="0"/>
                  <w:marRight w:val="0"/>
                  <w:marTop w:val="0"/>
                  <w:marBottom w:val="0"/>
                  <w:divBdr>
                    <w:top w:val="none" w:sz="0" w:space="0" w:color="auto"/>
                    <w:left w:val="none" w:sz="0" w:space="0" w:color="auto"/>
                    <w:bottom w:val="none" w:sz="0" w:space="0" w:color="auto"/>
                    <w:right w:val="none" w:sz="0" w:space="0" w:color="auto"/>
                  </w:divBdr>
                  <w:divsChild>
                    <w:div w:id="93208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108496">
          <w:marLeft w:val="0"/>
          <w:marRight w:val="0"/>
          <w:marTop w:val="0"/>
          <w:marBottom w:val="0"/>
          <w:divBdr>
            <w:top w:val="none" w:sz="0" w:space="0" w:color="auto"/>
            <w:left w:val="none" w:sz="0" w:space="0" w:color="auto"/>
            <w:bottom w:val="none" w:sz="0" w:space="0" w:color="auto"/>
            <w:right w:val="none" w:sz="0" w:space="0" w:color="auto"/>
          </w:divBdr>
          <w:divsChild>
            <w:div w:id="1353844863">
              <w:marLeft w:val="0"/>
              <w:marRight w:val="0"/>
              <w:marTop w:val="0"/>
              <w:marBottom w:val="0"/>
              <w:divBdr>
                <w:top w:val="none" w:sz="0" w:space="0" w:color="auto"/>
                <w:left w:val="none" w:sz="0" w:space="0" w:color="auto"/>
                <w:bottom w:val="none" w:sz="0" w:space="0" w:color="auto"/>
                <w:right w:val="none" w:sz="0" w:space="0" w:color="auto"/>
              </w:divBdr>
              <w:divsChild>
                <w:div w:id="1961570556">
                  <w:marLeft w:val="0"/>
                  <w:marRight w:val="0"/>
                  <w:marTop w:val="0"/>
                  <w:marBottom w:val="0"/>
                  <w:divBdr>
                    <w:top w:val="none" w:sz="0" w:space="0" w:color="auto"/>
                    <w:left w:val="none" w:sz="0" w:space="0" w:color="auto"/>
                    <w:bottom w:val="none" w:sz="0" w:space="0" w:color="auto"/>
                    <w:right w:val="none" w:sz="0" w:space="0" w:color="auto"/>
                  </w:divBdr>
                  <w:divsChild>
                    <w:div w:id="109282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056687">
      <w:bodyDiv w:val="1"/>
      <w:marLeft w:val="0"/>
      <w:marRight w:val="0"/>
      <w:marTop w:val="0"/>
      <w:marBottom w:val="0"/>
      <w:divBdr>
        <w:top w:val="none" w:sz="0" w:space="0" w:color="auto"/>
        <w:left w:val="none" w:sz="0" w:space="0" w:color="auto"/>
        <w:bottom w:val="none" w:sz="0" w:space="0" w:color="auto"/>
        <w:right w:val="none" w:sz="0" w:space="0" w:color="auto"/>
      </w:divBdr>
    </w:div>
    <w:div w:id="1013066909">
      <w:bodyDiv w:val="1"/>
      <w:marLeft w:val="0"/>
      <w:marRight w:val="0"/>
      <w:marTop w:val="0"/>
      <w:marBottom w:val="0"/>
      <w:divBdr>
        <w:top w:val="none" w:sz="0" w:space="0" w:color="auto"/>
        <w:left w:val="none" w:sz="0" w:space="0" w:color="auto"/>
        <w:bottom w:val="none" w:sz="0" w:space="0" w:color="auto"/>
        <w:right w:val="none" w:sz="0" w:space="0" w:color="auto"/>
      </w:divBdr>
    </w:div>
    <w:div w:id="1032464029">
      <w:bodyDiv w:val="1"/>
      <w:marLeft w:val="0"/>
      <w:marRight w:val="0"/>
      <w:marTop w:val="0"/>
      <w:marBottom w:val="0"/>
      <w:divBdr>
        <w:top w:val="none" w:sz="0" w:space="0" w:color="auto"/>
        <w:left w:val="none" w:sz="0" w:space="0" w:color="auto"/>
        <w:bottom w:val="none" w:sz="0" w:space="0" w:color="auto"/>
        <w:right w:val="none" w:sz="0" w:space="0" w:color="auto"/>
      </w:divBdr>
    </w:div>
    <w:div w:id="1037123178">
      <w:bodyDiv w:val="1"/>
      <w:marLeft w:val="0"/>
      <w:marRight w:val="0"/>
      <w:marTop w:val="0"/>
      <w:marBottom w:val="0"/>
      <w:divBdr>
        <w:top w:val="none" w:sz="0" w:space="0" w:color="auto"/>
        <w:left w:val="none" w:sz="0" w:space="0" w:color="auto"/>
        <w:bottom w:val="none" w:sz="0" w:space="0" w:color="auto"/>
        <w:right w:val="none" w:sz="0" w:space="0" w:color="auto"/>
      </w:divBdr>
    </w:div>
    <w:div w:id="1076442869">
      <w:bodyDiv w:val="1"/>
      <w:marLeft w:val="0"/>
      <w:marRight w:val="0"/>
      <w:marTop w:val="0"/>
      <w:marBottom w:val="0"/>
      <w:divBdr>
        <w:top w:val="none" w:sz="0" w:space="0" w:color="auto"/>
        <w:left w:val="none" w:sz="0" w:space="0" w:color="auto"/>
        <w:bottom w:val="none" w:sz="0" w:space="0" w:color="auto"/>
        <w:right w:val="none" w:sz="0" w:space="0" w:color="auto"/>
      </w:divBdr>
    </w:div>
    <w:div w:id="1093696993">
      <w:bodyDiv w:val="1"/>
      <w:marLeft w:val="0"/>
      <w:marRight w:val="0"/>
      <w:marTop w:val="0"/>
      <w:marBottom w:val="0"/>
      <w:divBdr>
        <w:top w:val="none" w:sz="0" w:space="0" w:color="auto"/>
        <w:left w:val="none" w:sz="0" w:space="0" w:color="auto"/>
        <w:bottom w:val="none" w:sz="0" w:space="0" w:color="auto"/>
        <w:right w:val="none" w:sz="0" w:space="0" w:color="auto"/>
      </w:divBdr>
    </w:div>
    <w:div w:id="1184128908">
      <w:bodyDiv w:val="1"/>
      <w:marLeft w:val="0"/>
      <w:marRight w:val="0"/>
      <w:marTop w:val="0"/>
      <w:marBottom w:val="0"/>
      <w:divBdr>
        <w:top w:val="none" w:sz="0" w:space="0" w:color="auto"/>
        <w:left w:val="none" w:sz="0" w:space="0" w:color="auto"/>
        <w:bottom w:val="none" w:sz="0" w:space="0" w:color="auto"/>
        <w:right w:val="none" w:sz="0" w:space="0" w:color="auto"/>
      </w:divBdr>
    </w:div>
    <w:div w:id="1192261803">
      <w:bodyDiv w:val="1"/>
      <w:marLeft w:val="0"/>
      <w:marRight w:val="0"/>
      <w:marTop w:val="0"/>
      <w:marBottom w:val="0"/>
      <w:divBdr>
        <w:top w:val="none" w:sz="0" w:space="0" w:color="auto"/>
        <w:left w:val="none" w:sz="0" w:space="0" w:color="auto"/>
        <w:bottom w:val="none" w:sz="0" w:space="0" w:color="auto"/>
        <w:right w:val="none" w:sz="0" w:space="0" w:color="auto"/>
      </w:divBdr>
    </w:div>
    <w:div w:id="1221399281">
      <w:bodyDiv w:val="1"/>
      <w:marLeft w:val="0"/>
      <w:marRight w:val="0"/>
      <w:marTop w:val="0"/>
      <w:marBottom w:val="0"/>
      <w:divBdr>
        <w:top w:val="none" w:sz="0" w:space="0" w:color="auto"/>
        <w:left w:val="none" w:sz="0" w:space="0" w:color="auto"/>
        <w:bottom w:val="none" w:sz="0" w:space="0" w:color="auto"/>
        <w:right w:val="none" w:sz="0" w:space="0" w:color="auto"/>
      </w:divBdr>
    </w:div>
    <w:div w:id="1221403364">
      <w:bodyDiv w:val="1"/>
      <w:marLeft w:val="0"/>
      <w:marRight w:val="0"/>
      <w:marTop w:val="0"/>
      <w:marBottom w:val="0"/>
      <w:divBdr>
        <w:top w:val="none" w:sz="0" w:space="0" w:color="auto"/>
        <w:left w:val="none" w:sz="0" w:space="0" w:color="auto"/>
        <w:bottom w:val="none" w:sz="0" w:space="0" w:color="auto"/>
        <w:right w:val="none" w:sz="0" w:space="0" w:color="auto"/>
      </w:divBdr>
    </w:div>
    <w:div w:id="1244873052">
      <w:bodyDiv w:val="1"/>
      <w:marLeft w:val="0"/>
      <w:marRight w:val="0"/>
      <w:marTop w:val="0"/>
      <w:marBottom w:val="0"/>
      <w:divBdr>
        <w:top w:val="none" w:sz="0" w:space="0" w:color="auto"/>
        <w:left w:val="none" w:sz="0" w:space="0" w:color="auto"/>
        <w:bottom w:val="none" w:sz="0" w:space="0" w:color="auto"/>
        <w:right w:val="none" w:sz="0" w:space="0" w:color="auto"/>
      </w:divBdr>
    </w:div>
    <w:div w:id="1299217943">
      <w:bodyDiv w:val="1"/>
      <w:marLeft w:val="0"/>
      <w:marRight w:val="0"/>
      <w:marTop w:val="0"/>
      <w:marBottom w:val="0"/>
      <w:divBdr>
        <w:top w:val="none" w:sz="0" w:space="0" w:color="auto"/>
        <w:left w:val="none" w:sz="0" w:space="0" w:color="auto"/>
        <w:bottom w:val="none" w:sz="0" w:space="0" w:color="auto"/>
        <w:right w:val="none" w:sz="0" w:space="0" w:color="auto"/>
      </w:divBdr>
    </w:div>
    <w:div w:id="1321235611">
      <w:bodyDiv w:val="1"/>
      <w:marLeft w:val="0"/>
      <w:marRight w:val="0"/>
      <w:marTop w:val="0"/>
      <w:marBottom w:val="0"/>
      <w:divBdr>
        <w:top w:val="none" w:sz="0" w:space="0" w:color="auto"/>
        <w:left w:val="none" w:sz="0" w:space="0" w:color="auto"/>
        <w:bottom w:val="none" w:sz="0" w:space="0" w:color="auto"/>
        <w:right w:val="none" w:sz="0" w:space="0" w:color="auto"/>
      </w:divBdr>
      <w:divsChild>
        <w:div w:id="1800145406">
          <w:marLeft w:val="0"/>
          <w:marRight w:val="0"/>
          <w:marTop w:val="0"/>
          <w:marBottom w:val="0"/>
          <w:divBdr>
            <w:top w:val="none" w:sz="0" w:space="0" w:color="auto"/>
            <w:left w:val="none" w:sz="0" w:space="0" w:color="auto"/>
            <w:bottom w:val="none" w:sz="0" w:space="0" w:color="auto"/>
            <w:right w:val="none" w:sz="0" w:space="0" w:color="auto"/>
          </w:divBdr>
          <w:divsChild>
            <w:div w:id="1142886624">
              <w:marLeft w:val="0"/>
              <w:marRight w:val="0"/>
              <w:marTop w:val="0"/>
              <w:marBottom w:val="0"/>
              <w:divBdr>
                <w:top w:val="none" w:sz="0" w:space="0" w:color="auto"/>
                <w:left w:val="none" w:sz="0" w:space="0" w:color="auto"/>
                <w:bottom w:val="none" w:sz="0" w:space="0" w:color="auto"/>
                <w:right w:val="none" w:sz="0" w:space="0" w:color="auto"/>
              </w:divBdr>
              <w:divsChild>
                <w:div w:id="417680044">
                  <w:marLeft w:val="0"/>
                  <w:marRight w:val="0"/>
                  <w:marTop w:val="0"/>
                  <w:marBottom w:val="0"/>
                  <w:divBdr>
                    <w:top w:val="none" w:sz="0" w:space="0" w:color="auto"/>
                    <w:left w:val="none" w:sz="0" w:space="0" w:color="auto"/>
                    <w:bottom w:val="none" w:sz="0" w:space="0" w:color="auto"/>
                    <w:right w:val="none" w:sz="0" w:space="0" w:color="auto"/>
                  </w:divBdr>
                  <w:divsChild>
                    <w:div w:id="33931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997854">
          <w:marLeft w:val="0"/>
          <w:marRight w:val="0"/>
          <w:marTop w:val="0"/>
          <w:marBottom w:val="0"/>
          <w:divBdr>
            <w:top w:val="none" w:sz="0" w:space="0" w:color="auto"/>
            <w:left w:val="none" w:sz="0" w:space="0" w:color="auto"/>
            <w:bottom w:val="none" w:sz="0" w:space="0" w:color="auto"/>
            <w:right w:val="none" w:sz="0" w:space="0" w:color="auto"/>
          </w:divBdr>
          <w:divsChild>
            <w:div w:id="2010331007">
              <w:marLeft w:val="0"/>
              <w:marRight w:val="0"/>
              <w:marTop w:val="0"/>
              <w:marBottom w:val="0"/>
              <w:divBdr>
                <w:top w:val="none" w:sz="0" w:space="0" w:color="auto"/>
                <w:left w:val="none" w:sz="0" w:space="0" w:color="auto"/>
                <w:bottom w:val="none" w:sz="0" w:space="0" w:color="auto"/>
                <w:right w:val="none" w:sz="0" w:space="0" w:color="auto"/>
              </w:divBdr>
              <w:divsChild>
                <w:div w:id="1837845022">
                  <w:marLeft w:val="0"/>
                  <w:marRight w:val="0"/>
                  <w:marTop w:val="0"/>
                  <w:marBottom w:val="0"/>
                  <w:divBdr>
                    <w:top w:val="none" w:sz="0" w:space="0" w:color="auto"/>
                    <w:left w:val="none" w:sz="0" w:space="0" w:color="auto"/>
                    <w:bottom w:val="none" w:sz="0" w:space="0" w:color="auto"/>
                    <w:right w:val="none" w:sz="0" w:space="0" w:color="auto"/>
                  </w:divBdr>
                  <w:divsChild>
                    <w:div w:id="187337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1007043">
      <w:bodyDiv w:val="1"/>
      <w:marLeft w:val="0"/>
      <w:marRight w:val="0"/>
      <w:marTop w:val="0"/>
      <w:marBottom w:val="0"/>
      <w:divBdr>
        <w:top w:val="none" w:sz="0" w:space="0" w:color="auto"/>
        <w:left w:val="none" w:sz="0" w:space="0" w:color="auto"/>
        <w:bottom w:val="none" w:sz="0" w:space="0" w:color="auto"/>
        <w:right w:val="none" w:sz="0" w:space="0" w:color="auto"/>
      </w:divBdr>
    </w:div>
    <w:div w:id="1382484114">
      <w:bodyDiv w:val="1"/>
      <w:marLeft w:val="0"/>
      <w:marRight w:val="0"/>
      <w:marTop w:val="0"/>
      <w:marBottom w:val="0"/>
      <w:divBdr>
        <w:top w:val="none" w:sz="0" w:space="0" w:color="auto"/>
        <w:left w:val="none" w:sz="0" w:space="0" w:color="auto"/>
        <w:bottom w:val="none" w:sz="0" w:space="0" w:color="auto"/>
        <w:right w:val="none" w:sz="0" w:space="0" w:color="auto"/>
      </w:divBdr>
    </w:div>
    <w:div w:id="1436438696">
      <w:bodyDiv w:val="1"/>
      <w:marLeft w:val="0"/>
      <w:marRight w:val="0"/>
      <w:marTop w:val="0"/>
      <w:marBottom w:val="0"/>
      <w:divBdr>
        <w:top w:val="none" w:sz="0" w:space="0" w:color="auto"/>
        <w:left w:val="none" w:sz="0" w:space="0" w:color="auto"/>
        <w:bottom w:val="none" w:sz="0" w:space="0" w:color="auto"/>
        <w:right w:val="none" w:sz="0" w:space="0" w:color="auto"/>
      </w:divBdr>
    </w:div>
    <w:div w:id="1437287692">
      <w:bodyDiv w:val="1"/>
      <w:marLeft w:val="0"/>
      <w:marRight w:val="0"/>
      <w:marTop w:val="0"/>
      <w:marBottom w:val="0"/>
      <w:divBdr>
        <w:top w:val="none" w:sz="0" w:space="0" w:color="auto"/>
        <w:left w:val="none" w:sz="0" w:space="0" w:color="auto"/>
        <w:bottom w:val="none" w:sz="0" w:space="0" w:color="auto"/>
        <w:right w:val="none" w:sz="0" w:space="0" w:color="auto"/>
      </w:divBdr>
    </w:div>
    <w:div w:id="1446844924">
      <w:bodyDiv w:val="1"/>
      <w:marLeft w:val="0"/>
      <w:marRight w:val="0"/>
      <w:marTop w:val="0"/>
      <w:marBottom w:val="0"/>
      <w:divBdr>
        <w:top w:val="none" w:sz="0" w:space="0" w:color="auto"/>
        <w:left w:val="none" w:sz="0" w:space="0" w:color="auto"/>
        <w:bottom w:val="none" w:sz="0" w:space="0" w:color="auto"/>
        <w:right w:val="none" w:sz="0" w:space="0" w:color="auto"/>
      </w:divBdr>
    </w:div>
    <w:div w:id="1530601198">
      <w:bodyDiv w:val="1"/>
      <w:marLeft w:val="0"/>
      <w:marRight w:val="0"/>
      <w:marTop w:val="0"/>
      <w:marBottom w:val="0"/>
      <w:divBdr>
        <w:top w:val="none" w:sz="0" w:space="0" w:color="auto"/>
        <w:left w:val="none" w:sz="0" w:space="0" w:color="auto"/>
        <w:bottom w:val="none" w:sz="0" w:space="0" w:color="auto"/>
        <w:right w:val="none" w:sz="0" w:space="0" w:color="auto"/>
      </w:divBdr>
    </w:div>
    <w:div w:id="1571227651">
      <w:bodyDiv w:val="1"/>
      <w:marLeft w:val="0"/>
      <w:marRight w:val="0"/>
      <w:marTop w:val="0"/>
      <w:marBottom w:val="0"/>
      <w:divBdr>
        <w:top w:val="none" w:sz="0" w:space="0" w:color="auto"/>
        <w:left w:val="none" w:sz="0" w:space="0" w:color="auto"/>
        <w:bottom w:val="none" w:sz="0" w:space="0" w:color="auto"/>
        <w:right w:val="none" w:sz="0" w:space="0" w:color="auto"/>
      </w:divBdr>
    </w:div>
    <w:div w:id="1664237669">
      <w:bodyDiv w:val="1"/>
      <w:marLeft w:val="0"/>
      <w:marRight w:val="0"/>
      <w:marTop w:val="0"/>
      <w:marBottom w:val="0"/>
      <w:divBdr>
        <w:top w:val="none" w:sz="0" w:space="0" w:color="auto"/>
        <w:left w:val="none" w:sz="0" w:space="0" w:color="auto"/>
        <w:bottom w:val="none" w:sz="0" w:space="0" w:color="auto"/>
        <w:right w:val="none" w:sz="0" w:space="0" w:color="auto"/>
      </w:divBdr>
    </w:div>
    <w:div w:id="1681349413">
      <w:bodyDiv w:val="1"/>
      <w:marLeft w:val="0"/>
      <w:marRight w:val="0"/>
      <w:marTop w:val="0"/>
      <w:marBottom w:val="0"/>
      <w:divBdr>
        <w:top w:val="none" w:sz="0" w:space="0" w:color="auto"/>
        <w:left w:val="none" w:sz="0" w:space="0" w:color="auto"/>
        <w:bottom w:val="none" w:sz="0" w:space="0" w:color="auto"/>
        <w:right w:val="none" w:sz="0" w:space="0" w:color="auto"/>
      </w:divBdr>
    </w:div>
    <w:div w:id="1688405327">
      <w:bodyDiv w:val="1"/>
      <w:marLeft w:val="0"/>
      <w:marRight w:val="0"/>
      <w:marTop w:val="0"/>
      <w:marBottom w:val="0"/>
      <w:divBdr>
        <w:top w:val="none" w:sz="0" w:space="0" w:color="auto"/>
        <w:left w:val="none" w:sz="0" w:space="0" w:color="auto"/>
        <w:bottom w:val="none" w:sz="0" w:space="0" w:color="auto"/>
        <w:right w:val="none" w:sz="0" w:space="0" w:color="auto"/>
      </w:divBdr>
    </w:div>
    <w:div w:id="1690138175">
      <w:bodyDiv w:val="1"/>
      <w:marLeft w:val="0"/>
      <w:marRight w:val="0"/>
      <w:marTop w:val="0"/>
      <w:marBottom w:val="0"/>
      <w:divBdr>
        <w:top w:val="none" w:sz="0" w:space="0" w:color="auto"/>
        <w:left w:val="none" w:sz="0" w:space="0" w:color="auto"/>
        <w:bottom w:val="none" w:sz="0" w:space="0" w:color="auto"/>
        <w:right w:val="none" w:sz="0" w:space="0" w:color="auto"/>
      </w:divBdr>
    </w:div>
    <w:div w:id="1696804883">
      <w:bodyDiv w:val="1"/>
      <w:marLeft w:val="0"/>
      <w:marRight w:val="0"/>
      <w:marTop w:val="0"/>
      <w:marBottom w:val="0"/>
      <w:divBdr>
        <w:top w:val="none" w:sz="0" w:space="0" w:color="auto"/>
        <w:left w:val="none" w:sz="0" w:space="0" w:color="auto"/>
        <w:bottom w:val="none" w:sz="0" w:space="0" w:color="auto"/>
        <w:right w:val="none" w:sz="0" w:space="0" w:color="auto"/>
      </w:divBdr>
    </w:div>
    <w:div w:id="1715151900">
      <w:bodyDiv w:val="1"/>
      <w:marLeft w:val="0"/>
      <w:marRight w:val="0"/>
      <w:marTop w:val="0"/>
      <w:marBottom w:val="0"/>
      <w:divBdr>
        <w:top w:val="none" w:sz="0" w:space="0" w:color="auto"/>
        <w:left w:val="none" w:sz="0" w:space="0" w:color="auto"/>
        <w:bottom w:val="none" w:sz="0" w:space="0" w:color="auto"/>
        <w:right w:val="none" w:sz="0" w:space="0" w:color="auto"/>
      </w:divBdr>
    </w:div>
    <w:div w:id="1732380925">
      <w:bodyDiv w:val="1"/>
      <w:marLeft w:val="0"/>
      <w:marRight w:val="0"/>
      <w:marTop w:val="0"/>
      <w:marBottom w:val="0"/>
      <w:divBdr>
        <w:top w:val="none" w:sz="0" w:space="0" w:color="auto"/>
        <w:left w:val="none" w:sz="0" w:space="0" w:color="auto"/>
        <w:bottom w:val="none" w:sz="0" w:space="0" w:color="auto"/>
        <w:right w:val="none" w:sz="0" w:space="0" w:color="auto"/>
      </w:divBdr>
    </w:div>
    <w:div w:id="1753355294">
      <w:bodyDiv w:val="1"/>
      <w:marLeft w:val="0"/>
      <w:marRight w:val="0"/>
      <w:marTop w:val="0"/>
      <w:marBottom w:val="0"/>
      <w:divBdr>
        <w:top w:val="none" w:sz="0" w:space="0" w:color="auto"/>
        <w:left w:val="none" w:sz="0" w:space="0" w:color="auto"/>
        <w:bottom w:val="none" w:sz="0" w:space="0" w:color="auto"/>
        <w:right w:val="none" w:sz="0" w:space="0" w:color="auto"/>
      </w:divBdr>
    </w:div>
    <w:div w:id="1757747024">
      <w:bodyDiv w:val="1"/>
      <w:marLeft w:val="0"/>
      <w:marRight w:val="0"/>
      <w:marTop w:val="0"/>
      <w:marBottom w:val="0"/>
      <w:divBdr>
        <w:top w:val="none" w:sz="0" w:space="0" w:color="auto"/>
        <w:left w:val="none" w:sz="0" w:space="0" w:color="auto"/>
        <w:bottom w:val="none" w:sz="0" w:space="0" w:color="auto"/>
        <w:right w:val="none" w:sz="0" w:space="0" w:color="auto"/>
      </w:divBdr>
    </w:div>
    <w:div w:id="1804031346">
      <w:bodyDiv w:val="1"/>
      <w:marLeft w:val="0"/>
      <w:marRight w:val="0"/>
      <w:marTop w:val="0"/>
      <w:marBottom w:val="0"/>
      <w:divBdr>
        <w:top w:val="none" w:sz="0" w:space="0" w:color="auto"/>
        <w:left w:val="none" w:sz="0" w:space="0" w:color="auto"/>
        <w:bottom w:val="none" w:sz="0" w:space="0" w:color="auto"/>
        <w:right w:val="none" w:sz="0" w:space="0" w:color="auto"/>
      </w:divBdr>
    </w:div>
    <w:div w:id="1809204240">
      <w:bodyDiv w:val="1"/>
      <w:marLeft w:val="0"/>
      <w:marRight w:val="0"/>
      <w:marTop w:val="0"/>
      <w:marBottom w:val="0"/>
      <w:divBdr>
        <w:top w:val="none" w:sz="0" w:space="0" w:color="auto"/>
        <w:left w:val="none" w:sz="0" w:space="0" w:color="auto"/>
        <w:bottom w:val="none" w:sz="0" w:space="0" w:color="auto"/>
        <w:right w:val="none" w:sz="0" w:space="0" w:color="auto"/>
      </w:divBdr>
    </w:div>
    <w:div w:id="1827668247">
      <w:bodyDiv w:val="1"/>
      <w:marLeft w:val="0"/>
      <w:marRight w:val="0"/>
      <w:marTop w:val="0"/>
      <w:marBottom w:val="0"/>
      <w:divBdr>
        <w:top w:val="none" w:sz="0" w:space="0" w:color="auto"/>
        <w:left w:val="none" w:sz="0" w:space="0" w:color="auto"/>
        <w:bottom w:val="none" w:sz="0" w:space="0" w:color="auto"/>
        <w:right w:val="none" w:sz="0" w:space="0" w:color="auto"/>
      </w:divBdr>
    </w:div>
    <w:div w:id="1854876337">
      <w:bodyDiv w:val="1"/>
      <w:marLeft w:val="0"/>
      <w:marRight w:val="0"/>
      <w:marTop w:val="0"/>
      <w:marBottom w:val="0"/>
      <w:divBdr>
        <w:top w:val="none" w:sz="0" w:space="0" w:color="auto"/>
        <w:left w:val="none" w:sz="0" w:space="0" w:color="auto"/>
        <w:bottom w:val="none" w:sz="0" w:space="0" w:color="auto"/>
        <w:right w:val="none" w:sz="0" w:space="0" w:color="auto"/>
      </w:divBdr>
    </w:div>
    <w:div w:id="1857040549">
      <w:bodyDiv w:val="1"/>
      <w:marLeft w:val="0"/>
      <w:marRight w:val="0"/>
      <w:marTop w:val="0"/>
      <w:marBottom w:val="0"/>
      <w:divBdr>
        <w:top w:val="none" w:sz="0" w:space="0" w:color="auto"/>
        <w:left w:val="none" w:sz="0" w:space="0" w:color="auto"/>
        <w:bottom w:val="none" w:sz="0" w:space="0" w:color="auto"/>
        <w:right w:val="none" w:sz="0" w:space="0" w:color="auto"/>
      </w:divBdr>
    </w:div>
    <w:div w:id="1895971880">
      <w:bodyDiv w:val="1"/>
      <w:marLeft w:val="0"/>
      <w:marRight w:val="0"/>
      <w:marTop w:val="0"/>
      <w:marBottom w:val="0"/>
      <w:divBdr>
        <w:top w:val="none" w:sz="0" w:space="0" w:color="auto"/>
        <w:left w:val="none" w:sz="0" w:space="0" w:color="auto"/>
        <w:bottom w:val="none" w:sz="0" w:space="0" w:color="auto"/>
        <w:right w:val="none" w:sz="0" w:space="0" w:color="auto"/>
      </w:divBdr>
    </w:div>
    <w:div w:id="1936135082">
      <w:bodyDiv w:val="1"/>
      <w:marLeft w:val="0"/>
      <w:marRight w:val="0"/>
      <w:marTop w:val="0"/>
      <w:marBottom w:val="0"/>
      <w:divBdr>
        <w:top w:val="none" w:sz="0" w:space="0" w:color="auto"/>
        <w:left w:val="none" w:sz="0" w:space="0" w:color="auto"/>
        <w:bottom w:val="none" w:sz="0" w:space="0" w:color="auto"/>
        <w:right w:val="none" w:sz="0" w:space="0" w:color="auto"/>
      </w:divBdr>
    </w:div>
    <w:div w:id="1966157750">
      <w:bodyDiv w:val="1"/>
      <w:marLeft w:val="0"/>
      <w:marRight w:val="0"/>
      <w:marTop w:val="0"/>
      <w:marBottom w:val="0"/>
      <w:divBdr>
        <w:top w:val="none" w:sz="0" w:space="0" w:color="auto"/>
        <w:left w:val="none" w:sz="0" w:space="0" w:color="auto"/>
        <w:bottom w:val="none" w:sz="0" w:space="0" w:color="auto"/>
        <w:right w:val="none" w:sz="0" w:space="0" w:color="auto"/>
      </w:divBdr>
    </w:div>
    <w:div w:id="1972974427">
      <w:bodyDiv w:val="1"/>
      <w:marLeft w:val="0"/>
      <w:marRight w:val="0"/>
      <w:marTop w:val="0"/>
      <w:marBottom w:val="0"/>
      <w:divBdr>
        <w:top w:val="none" w:sz="0" w:space="0" w:color="auto"/>
        <w:left w:val="none" w:sz="0" w:space="0" w:color="auto"/>
        <w:bottom w:val="none" w:sz="0" w:space="0" w:color="auto"/>
        <w:right w:val="none" w:sz="0" w:space="0" w:color="auto"/>
      </w:divBdr>
    </w:div>
    <w:div w:id="1975257092">
      <w:bodyDiv w:val="1"/>
      <w:marLeft w:val="0"/>
      <w:marRight w:val="0"/>
      <w:marTop w:val="0"/>
      <w:marBottom w:val="0"/>
      <w:divBdr>
        <w:top w:val="none" w:sz="0" w:space="0" w:color="auto"/>
        <w:left w:val="none" w:sz="0" w:space="0" w:color="auto"/>
        <w:bottom w:val="none" w:sz="0" w:space="0" w:color="auto"/>
        <w:right w:val="none" w:sz="0" w:space="0" w:color="auto"/>
      </w:divBdr>
    </w:div>
    <w:div w:id="2008560028">
      <w:bodyDiv w:val="1"/>
      <w:marLeft w:val="0"/>
      <w:marRight w:val="0"/>
      <w:marTop w:val="0"/>
      <w:marBottom w:val="0"/>
      <w:divBdr>
        <w:top w:val="none" w:sz="0" w:space="0" w:color="auto"/>
        <w:left w:val="none" w:sz="0" w:space="0" w:color="auto"/>
        <w:bottom w:val="none" w:sz="0" w:space="0" w:color="auto"/>
        <w:right w:val="none" w:sz="0" w:space="0" w:color="auto"/>
      </w:divBdr>
    </w:div>
    <w:div w:id="2050837543">
      <w:bodyDiv w:val="1"/>
      <w:marLeft w:val="0"/>
      <w:marRight w:val="0"/>
      <w:marTop w:val="0"/>
      <w:marBottom w:val="0"/>
      <w:divBdr>
        <w:top w:val="none" w:sz="0" w:space="0" w:color="auto"/>
        <w:left w:val="none" w:sz="0" w:space="0" w:color="auto"/>
        <w:bottom w:val="none" w:sz="0" w:space="0" w:color="auto"/>
        <w:right w:val="none" w:sz="0" w:space="0" w:color="auto"/>
      </w:divBdr>
    </w:div>
    <w:div w:id="2073766987">
      <w:bodyDiv w:val="1"/>
      <w:marLeft w:val="0"/>
      <w:marRight w:val="0"/>
      <w:marTop w:val="0"/>
      <w:marBottom w:val="0"/>
      <w:divBdr>
        <w:top w:val="none" w:sz="0" w:space="0" w:color="auto"/>
        <w:left w:val="none" w:sz="0" w:space="0" w:color="auto"/>
        <w:bottom w:val="none" w:sz="0" w:space="0" w:color="auto"/>
        <w:right w:val="none" w:sz="0" w:space="0" w:color="auto"/>
      </w:divBdr>
    </w:div>
    <w:div w:id="2081514265">
      <w:bodyDiv w:val="1"/>
      <w:marLeft w:val="0"/>
      <w:marRight w:val="0"/>
      <w:marTop w:val="0"/>
      <w:marBottom w:val="0"/>
      <w:divBdr>
        <w:top w:val="none" w:sz="0" w:space="0" w:color="auto"/>
        <w:left w:val="none" w:sz="0" w:space="0" w:color="auto"/>
        <w:bottom w:val="none" w:sz="0" w:space="0" w:color="auto"/>
        <w:right w:val="none" w:sz="0" w:space="0" w:color="auto"/>
      </w:divBdr>
    </w:div>
    <w:div w:id="2081780389">
      <w:bodyDiv w:val="1"/>
      <w:marLeft w:val="0"/>
      <w:marRight w:val="0"/>
      <w:marTop w:val="0"/>
      <w:marBottom w:val="0"/>
      <w:divBdr>
        <w:top w:val="none" w:sz="0" w:space="0" w:color="auto"/>
        <w:left w:val="none" w:sz="0" w:space="0" w:color="auto"/>
        <w:bottom w:val="none" w:sz="0" w:space="0" w:color="auto"/>
        <w:right w:val="none" w:sz="0" w:space="0" w:color="auto"/>
      </w:divBdr>
    </w:div>
    <w:div w:id="2082942951">
      <w:bodyDiv w:val="1"/>
      <w:marLeft w:val="0"/>
      <w:marRight w:val="0"/>
      <w:marTop w:val="0"/>
      <w:marBottom w:val="0"/>
      <w:divBdr>
        <w:top w:val="none" w:sz="0" w:space="0" w:color="auto"/>
        <w:left w:val="none" w:sz="0" w:space="0" w:color="auto"/>
        <w:bottom w:val="none" w:sz="0" w:space="0" w:color="auto"/>
        <w:right w:val="none" w:sz="0" w:space="0" w:color="auto"/>
      </w:divBdr>
    </w:div>
    <w:div w:id="2100518362">
      <w:bodyDiv w:val="1"/>
      <w:marLeft w:val="0"/>
      <w:marRight w:val="0"/>
      <w:marTop w:val="0"/>
      <w:marBottom w:val="0"/>
      <w:divBdr>
        <w:top w:val="none" w:sz="0" w:space="0" w:color="auto"/>
        <w:left w:val="none" w:sz="0" w:space="0" w:color="auto"/>
        <w:bottom w:val="none" w:sz="0" w:space="0" w:color="auto"/>
        <w:right w:val="none" w:sz="0" w:space="0" w:color="auto"/>
      </w:divBdr>
    </w:div>
    <w:div w:id="2107185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EAAAF9-91CA-4C73-9F58-BD204FD79F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TotalTime>
  <Pages>36</Pages>
  <Words>10208</Words>
  <Characters>58192</Characters>
  <Application>Microsoft Office Word</Application>
  <DocSecurity>0</DocSecurity>
  <Lines>484</Lines>
  <Paragraphs>136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Mohammad Siddiqui</dc:creator>
  <cp:keywords/>
  <dc:description/>
  <cp:lastModifiedBy>Mohammad Siddiqui</cp:lastModifiedBy>
  <cp:revision>550</cp:revision>
  <cp:lastPrinted>2024-07-24T16:04:00Z</cp:lastPrinted>
  <dcterms:created xsi:type="dcterms:W3CDTF">2024-06-07T06:44:00Z</dcterms:created>
  <dcterms:modified xsi:type="dcterms:W3CDTF">2024-07-24T16:06:00Z</dcterms:modified>
</cp:coreProperties>
</file>