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70486482"/>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p>
    <w:p w14:paraId="0A180955" w14:textId="2C483FD7" w:rsidR="00DA3AC4" w:rsidRPr="008D312A" w:rsidRDefault="007474DD"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70486483"/>
      <w:r>
        <w:rPr>
          <w:rFonts w:ascii="Abadi" w:eastAsia="Times New Roman" w:hAnsi="Abadi" w:cs="Times New Roman"/>
          <w:b/>
          <w:bCs/>
          <w:kern w:val="0"/>
          <w:sz w:val="64"/>
          <w:szCs w:val="64"/>
          <w14:ligatures w14:val="none"/>
        </w:rPr>
        <w:t>Civic Engagement &amp; Civil Society</w:t>
      </w:r>
      <w:bookmarkEnd w:id="5"/>
    </w:p>
    <w:p w14:paraId="4A7160F9" w14:textId="6AC5EFEC" w:rsidR="00F96E83" w:rsidRPr="008D312A" w:rsidRDefault="00003223"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6" w:name="_Toc168649081"/>
      <w:bookmarkStart w:id="7" w:name="_Toc168681196"/>
      <w:bookmarkStart w:id="8" w:name="_Toc168681380"/>
      <w:bookmarkStart w:id="9" w:name="_Toc168681197"/>
      <w:bookmarkStart w:id="10" w:name="_Toc168681381"/>
      <w:bookmarkStart w:id="11" w:name="_Toc170486484"/>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41846E4C">
            <wp:simplePos x="0" y="0"/>
            <wp:positionH relativeFrom="column">
              <wp:posOffset>4231382</wp:posOffset>
            </wp:positionH>
            <wp:positionV relativeFrom="paragraph">
              <wp:posOffset>157480</wp:posOffset>
            </wp:positionV>
            <wp:extent cx="1965960" cy="1961515"/>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1515"/>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r w:rsidR="00A226BF" w:rsidRPr="008D312A">
        <w:rPr>
          <w:rFonts w:ascii="Abadi" w:eastAsia="Times New Roman" w:hAnsi="Abadi" w:cs="Times New Roman"/>
          <w:b/>
          <w:bCs/>
          <w:kern w:val="0"/>
          <w:sz w:val="80"/>
          <w:szCs w:val="80"/>
          <w:lang w:val="en-US"/>
          <w14:ligatures w14:val="none"/>
        </w:rPr>
        <w:t>Debates</w:t>
      </w:r>
      <w:bookmarkEnd w:id="9"/>
      <w:bookmarkEnd w:id="10"/>
      <w:bookmarkEnd w:id="11"/>
    </w:p>
    <w:p w14:paraId="5FE81C61" w14:textId="3D942C9C" w:rsidR="00590D08" w:rsidRPr="00FA5304" w:rsidRDefault="00003223">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72ADF213">
            <wp:simplePos x="0" y="0"/>
            <wp:positionH relativeFrom="margin">
              <wp:align>right</wp:align>
            </wp:positionH>
            <wp:positionV relativeFrom="paragraph">
              <wp:posOffset>520592</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49CA5476"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explores diverse perspectives on pivotal issues shaping Palestine's future. Each debate fosters deep dialogue, presenting balanced viewpoints on key policies and strategies to support the nation's recovery and rebuilding efforts. By illuminating the complexities of challenges and opportunities facing Palestine,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2" w:name="_Toc170486485"/>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2"/>
      <w:r w:rsidRPr="0074459C">
        <w:rPr>
          <w:rFonts w:ascii="Abadi" w:eastAsia="Times New Roman" w:hAnsi="Abadi" w:cs="Times New Roman"/>
          <w:kern w:val="0"/>
          <w:sz w:val="28"/>
          <w:szCs w:val="28"/>
          <w14:ligatures w14:val="none"/>
        </w:rPr>
        <w:t xml:space="preserve"> </w:t>
      </w:r>
    </w:p>
    <w:p w14:paraId="7CB5F08F" w14:textId="45CC5EE5"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500EF678" w14:textId="5E02BF39" w:rsidR="00DD34B9" w:rsidRDefault="00B813D7" w:rsidP="00AC1031">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60E49A59" w14:textId="0AF769E4" w:rsidR="00DD34B9" w:rsidRPr="00DD34B9" w:rsidRDefault="00DD34B9" w:rsidP="00DD34B9">
          <w:pPr>
            <w:pStyle w:val="TOC1"/>
            <w:rPr>
              <w:rFonts w:eastAsiaTheme="minorEastAsia"/>
              <w:sz w:val="24"/>
              <w:szCs w:val="24"/>
              <w:lang w:eastAsia="en-AE"/>
            </w:rPr>
          </w:pPr>
          <w:hyperlink w:anchor="_Toc170486486" w:history="1">
            <w:r w:rsidRPr="00DD34B9">
              <w:rPr>
                <w:rStyle w:val="Hyperlink"/>
                <w:color w:val="auto"/>
              </w:rPr>
              <w:t>1. Youth Involvement in Civic Activities vs. Traditional Leadership Structures</w:t>
            </w:r>
            <w:r w:rsidRPr="00DD34B9">
              <w:rPr>
                <w:webHidden/>
              </w:rPr>
              <w:tab/>
            </w:r>
            <w:r w:rsidRPr="00DD34B9">
              <w:rPr>
                <w:webHidden/>
              </w:rPr>
              <w:fldChar w:fldCharType="begin"/>
            </w:r>
            <w:r w:rsidRPr="00DD34B9">
              <w:rPr>
                <w:webHidden/>
              </w:rPr>
              <w:instrText xml:space="preserve"> PAGEREF _Toc170486486 \h </w:instrText>
            </w:r>
            <w:r w:rsidRPr="00DD34B9">
              <w:rPr>
                <w:webHidden/>
              </w:rPr>
            </w:r>
            <w:r w:rsidRPr="00DD34B9">
              <w:rPr>
                <w:webHidden/>
              </w:rPr>
              <w:fldChar w:fldCharType="separate"/>
            </w:r>
            <w:r w:rsidR="004C1560">
              <w:rPr>
                <w:webHidden/>
              </w:rPr>
              <w:t>4</w:t>
            </w:r>
            <w:r w:rsidRPr="00DD34B9">
              <w:rPr>
                <w:webHidden/>
              </w:rPr>
              <w:fldChar w:fldCharType="end"/>
            </w:r>
          </w:hyperlink>
        </w:p>
        <w:p w14:paraId="54D878DF" w14:textId="716B77D0" w:rsidR="00DD34B9" w:rsidRDefault="00DD34B9" w:rsidP="00DD34B9">
          <w:pPr>
            <w:pStyle w:val="TOC1"/>
            <w:rPr>
              <w:rFonts w:eastAsiaTheme="minorEastAsia"/>
              <w:sz w:val="24"/>
              <w:szCs w:val="24"/>
              <w:lang w:eastAsia="en-AE"/>
            </w:rPr>
          </w:pPr>
          <w:hyperlink w:anchor="_Toc170486493" w:history="1">
            <w:r>
              <w:rPr>
                <w:rStyle w:val="Hyperlink"/>
              </w:rPr>
              <w:t xml:space="preserve">2. </w:t>
            </w:r>
            <w:r w:rsidRPr="00523A09">
              <w:rPr>
                <w:rStyle w:val="Hyperlink"/>
              </w:rPr>
              <w:t>Digital Activism vs. Traditional Forms of Civic Engagement</w:t>
            </w:r>
            <w:r>
              <w:rPr>
                <w:webHidden/>
              </w:rPr>
              <w:tab/>
            </w:r>
            <w:r>
              <w:rPr>
                <w:webHidden/>
              </w:rPr>
              <w:fldChar w:fldCharType="begin"/>
            </w:r>
            <w:r>
              <w:rPr>
                <w:webHidden/>
              </w:rPr>
              <w:instrText xml:space="preserve"> PAGEREF _Toc170486493 \h </w:instrText>
            </w:r>
            <w:r>
              <w:rPr>
                <w:webHidden/>
              </w:rPr>
            </w:r>
            <w:r>
              <w:rPr>
                <w:webHidden/>
              </w:rPr>
              <w:fldChar w:fldCharType="separate"/>
            </w:r>
            <w:r w:rsidR="004C1560">
              <w:rPr>
                <w:webHidden/>
              </w:rPr>
              <w:t>10</w:t>
            </w:r>
            <w:r>
              <w:rPr>
                <w:webHidden/>
              </w:rPr>
              <w:fldChar w:fldCharType="end"/>
            </w:r>
          </w:hyperlink>
        </w:p>
        <w:p w14:paraId="284A314C" w14:textId="35C1FFBA" w:rsidR="00DD34B9" w:rsidRDefault="00DD34B9" w:rsidP="00DD34B9">
          <w:pPr>
            <w:pStyle w:val="TOC1"/>
            <w:rPr>
              <w:rFonts w:eastAsiaTheme="minorEastAsia"/>
              <w:sz w:val="24"/>
              <w:szCs w:val="24"/>
              <w:lang w:eastAsia="en-AE"/>
            </w:rPr>
          </w:pPr>
          <w:hyperlink w:anchor="_Toc170486501" w:history="1">
            <w:r>
              <w:rPr>
                <w:rStyle w:val="Hyperlink"/>
                <w:rFonts w:eastAsia="Times New Roman"/>
                <w:lang w:eastAsia="en-AE"/>
              </w:rPr>
              <w:t xml:space="preserve">3. </w:t>
            </w:r>
            <w:r w:rsidRPr="00523A09">
              <w:rPr>
                <w:rStyle w:val="Hyperlink"/>
                <w:rFonts w:eastAsia="Times New Roman"/>
                <w:lang w:eastAsia="en-AE"/>
              </w:rPr>
              <w:t>Government Support vs. Independent Civil Society Organizations</w:t>
            </w:r>
            <w:r>
              <w:rPr>
                <w:webHidden/>
              </w:rPr>
              <w:tab/>
            </w:r>
            <w:r>
              <w:rPr>
                <w:webHidden/>
              </w:rPr>
              <w:fldChar w:fldCharType="begin"/>
            </w:r>
            <w:r>
              <w:rPr>
                <w:webHidden/>
              </w:rPr>
              <w:instrText xml:space="preserve"> PAGEREF _Toc170486501 \h </w:instrText>
            </w:r>
            <w:r>
              <w:rPr>
                <w:webHidden/>
              </w:rPr>
            </w:r>
            <w:r>
              <w:rPr>
                <w:webHidden/>
              </w:rPr>
              <w:fldChar w:fldCharType="separate"/>
            </w:r>
            <w:r w:rsidR="004C1560">
              <w:rPr>
                <w:webHidden/>
              </w:rPr>
              <w:t>18</w:t>
            </w:r>
            <w:r>
              <w:rPr>
                <w:webHidden/>
              </w:rPr>
              <w:fldChar w:fldCharType="end"/>
            </w:r>
          </w:hyperlink>
        </w:p>
        <w:p w14:paraId="55C43BD3" w14:textId="32E0E61A" w:rsidR="00DD34B9" w:rsidRDefault="00DD34B9" w:rsidP="00DD34B9">
          <w:pPr>
            <w:pStyle w:val="TOC1"/>
            <w:rPr>
              <w:rFonts w:eastAsiaTheme="minorEastAsia"/>
              <w:sz w:val="24"/>
              <w:szCs w:val="24"/>
              <w:lang w:eastAsia="en-AE"/>
            </w:rPr>
          </w:pPr>
          <w:hyperlink w:anchor="_Toc170486509" w:history="1">
            <w:r>
              <w:rPr>
                <w:rStyle w:val="Hyperlink"/>
                <w:rFonts w:eastAsia="Times New Roman"/>
                <w:lang w:eastAsia="en-AE"/>
              </w:rPr>
              <w:t xml:space="preserve">4. </w:t>
            </w:r>
            <w:r w:rsidRPr="00523A09">
              <w:rPr>
                <w:rStyle w:val="Hyperlink"/>
                <w:rFonts w:eastAsia="Times New Roman"/>
                <w:lang w:eastAsia="en-AE"/>
              </w:rPr>
              <w:t>Public Funding for Civil Society Initiatives vs. Private Philanthropy</w:t>
            </w:r>
            <w:r>
              <w:rPr>
                <w:webHidden/>
              </w:rPr>
              <w:tab/>
            </w:r>
            <w:r>
              <w:rPr>
                <w:webHidden/>
              </w:rPr>
              <w:fldChar w:fldCharType="begin"/>
            </w:r>
            <w:r>
              <w:rPr>
                <w:webHidden/>
              </w:rPr>
              <w:instrText xml:space="preserve"> PAGEREF _Toc170486509 \h </w:instrText>
            </w:r>
            <w:r>
              <w:rPr>
                <w:webHidden/>
              </w:rPr>
            </w:r>
            <w:r>
              <w:rPr>
                <w:webHidden/>
              </w:rPr>
              <w:fldChar w:fldCharType="separate"/>
            </w:r>
            <w:r w:rsidR="004C1560">
              <w:rPr>
                <w:webHidden/>
              </w:rPr>
              <w:t>26</w:t>
            </w:r>
            <w:r>
              <w:rPr>
                <w:webHidden/>
              </w:rPr>
              <w:fldChar w:fldCharType="end"/>
            </w:r>
          </w:hyperlink>
        </w:p>
        <w:p w14:paraId="26C43E83" w14:textId="04092E43" w:rsidR="00B813D7" w:rsidRPr="0072081F" w:rsidRDefault="00DD34B9" w:rsidP="00DD34B9">
          <w:pPr>
            <w:pStyle w:val="TOC1"/>
            <w:rPr>
              <w:rFonts w:eastAsiaTheme="minorEastAsia"/>
              <w:sz w:val="24"/>
              <w:szCs w:val="24"/>
              <w:lang w:eastAsia="en-AE"/>
            </w:rPr>
          </w:pPr>
          <w:hyperlink w:anchor="_Toc170486517" w:history="1">
            <w:r>
              <w:rPr>
                <w:rStyle w:val="Hyperlink"/>
                <w:rFonts w:eastAsia="Times New Roman"/>
                <w:lang w:eastAsia="en-AE"/>
              </w:rPr>
              <w:t xml:space="preserve">5. </w:t>
            </w:r>
            <w:r w:rsidRPr="00523A09">
              <w:rPr>
                <w:rStyle w:val="Hyperlink"/>
                <w:rFonts w:eastAsia="Times New Roman"/>
                <w:lang w:eastAsia="en-AE"/>
              </w:rPr>
              <w:t>Use of Social Media for Civic Mobilization vs. Traditional Media Outlets</w:t>
            </w:r>
            <w:r>
              <w:rPr>
                <w:webHidden/>
              </w:rPr>
              <w:tab/>
            </w:r>
            <w:r>
              <w:rPr>
                <w:webHidden/>
              </w:rPr>
              <w:fldChar w:fldCharType="begin"/>
            </w:r>
            <w:r>
              <w:rPr>
                <w:webHidden/>
              </w:rPr>
              <w:instrText xml:space="preserve"> PAGEREF _Toc170486517 \h </w:instrText>
            </w:r>
            <w:r>
              <w:rPr>
                <w:webHidden/>
              </w:rPr>
            </w:r>
            <w:r>
              <w:rPr>
                <w:webHidden/>
              </w:rPr>
              <w:fldChar w:fldCharType="separate"/>
            </w:r>
            <w:r w:rsidR="004C1560">
              <w:rPr>
                <w:webHidden/>
              </w:rPr>
              <w:t>34</w:t>
            </w:r>
            <w:r>
              <w:rPr>
                <w:webHidden/>
              </w:rPr>
              <w:fldChar w:fldCharType="end"/>
            </w:r>
          </w:hyperlink>
          <w:r w:rsidR="00B813D7">
            <w:rPr>
              <w:b/>
              <w:bCs/>
            </w:rPr>
            <w:fldChar w:fldCharType="end"/>
          </w:r>
        </w:p>
      </w:sdtContent>
    </w:sdt>
    <w:p w14:paraId="519EFD88" w14:textId="77777777" w:rsidR="00B813D7" w:rsidRDefault="00B813D7" w:rsidP="00B813D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4647E79B" w14:textId="77777777" w:rsidR="004854B9" w:rsidRPr="00597861" w:rsidRDefault="004854B9" w:rsidP="00597861">
      <w:pPr>
        <w:pStyle w:val="Heading1"/>
        <w:pBdr>
          <w:bottom w:val="single" w:sz="4" w:space="1" w:color="auto"/>
        </w:pBdr>
      </w:pPr>
      <w:bookmarkStart w:id="13" w:name="_Toc170486486"/>
      <w:r w:rsidRPr="00597861">
        <w:lastRenderedPageBreak/>
        <w:t>Debate Topic 1: Youth Involvement in Civic Activities vs. Traditional Leadership Structures</w:t>
      </w:r>
      <w:bookmarkEnd w:id="13"/>
      <w:r w:rsidRPr="00597861">
        <w:br/>
      </w:r>
    </w:p>
    <w:p w14:paraId="4F8D04D7"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6FFF9CA5"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surrounding the involvement of youth in civic activities versus the influence of traditional leadership structures is crucial for shaping the future of Palestinian civil society. This discussion evaluates the roles and effectiveness of engaging the youth in civic activities and governance against the established traditional leadership structures that have historically guided Palestinian society. Advocates of youth involvement argue for the necessity of fresh perspectives, innovative solutions, and the energy that young people bring to civic engagement. Meanwhile, proponents of traditional leadership emphasize the importance of experience, cultural continuity, and the stability provided by established leaders.</w:t>
      </w:r>
    </w:p>
    <w:p w14:paraId="3C295F67" w14:textId="77777777" w:rsidR="004854B9" w:rsidRDefault="004854B9" w:rsidP="004854B9">
      <w:pPr>
        <w:rPr>
          <w:rFonts w:ascii="Abadi" w:hAnsi="Abadi"/>
          <w:sz w:val="28"/>
          <w:szCs w:val="28"/>
        </w:rPr>
      </w:pPr>
    </w:p>
    <w:p w14:paraId="1A3DB6D5"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4" w:name="_Toc170486487"/>
      <w:r>
        <w:rPr>
          <w:rFonts w:ascii="Abadi" w:eastAsia="Times New Roman" w:hAnsi="Abadi" w:cs="Times New Roman"/>
          <w:b/>
          <w:bCs/>
          <w:kern w:val="0"/>
          <w:sz w:val="28"/>
          <w:szCs w:val="28"/>
          <w:lang w:eastAsia="en-AE"/>
          <w14:ligatures w14:val="none"/>
        </w:rPr>
        <w:t>Moderator's Presentation</w:t>
      </w:r>
      <w:bookmarkEnd w:id="14"/>
    </w:p>
    <w:p w14:paraId="4C9BB6A3"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address a pivotal issue in the future of Palestinian civil society: the involvement of youth in civic activities versus the influence of traditional leadership structures. This debate explores whether the dynamism and innovative spirit of youth can effectively complement or even replace the seasoned experience and stability offered by traditional leadership."</w:t>
      </w:r>
      <w:r>
        <w:rPr>
          <w:rFonts w:ascii="Abadi" w:eastAsia="Times New Roman" w:hAnsi="Abadi" w:cs="Times New Roman"/>
          <w:kern w:val="0"/>
          <w:sz w:val="28"/>
          <w:szCs w:val="28"/>
          <w:lang w:eastAsia="en-AE"/>
          <w14:ligatures w14:val="none"/>
        </w:rPr>
        <w:br/>
      </w:r>
    </w:p>
    <w:p w14:paraId="0CBA59F8"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Historical Background</w:t>
      </w:r>
      <w:r>
        <w:rPr>
          <w:rFonts w:ascii="Abadi" w:eastAsia="Times New Roman" w:hAnsi="Abadi" w:cs="Times New Roman"/>
          <w:kern w:val="0"/>
          <w:sz w:val="28"/>
          <w:szCs w:val="28"/>
          <w:lang w:eastAsia="en-AE"/>
          <w14:ligatures w14:val="none"/>
        </w:rPr>
        <w:t xml:space="preserve"> "Historically, Palestinian society has been guided by traditional leadership structures, including elders, community leaders, and established political figures. These leaders have played crucial roles in maintaining social cohesion and providing direction during times of political instability and aggression. However, the evolving socio-political landscape demands a </w:t>
      </w:r>
      <w:proofErr w:type="spellStart"/>
      <w:r>
        <w:rPr>
          <w:rFonts w:ascii="Abadi" w:eastAsia="Times New Roman" w:hAnsi="Abadi" w:cs="Times New Roman"/>
          <w:kern w:val="0"/>
          <w:sz w:val="28"/>
          <w:szCs w:val="28"/>
          <w:lang w:eastAsia="en-AE"/>
          <w14:ligatures w14:val="none"/>
        </w:rPr>
        <w:t>reevaluation</w:t>
      </w:r>
      <w:proofErr w:type="spellEnd"/>
      <w:r>
        <w:rPr>
          <w:rFonts w:ascii="Abadi" w:eastAsia="Times New Roman" w:hAnsi="Abadi" w:cs="Times New Roman"/>
          <w:kern w:val="0"/>
          <w:sz w:val="28"/>
          <w:szCs w:val="28"/>
          <w:lang w:eastAsia="en-AE"/>
          <w14:ligatures w14:val="none"/>
        </w:rPr>
        <w:t xml:space="preserve"> of these dynamics."</w:t>
      </w:r>
      <w:r>
        <w:rPr>
          <w:rFonts w:ascii="Abadi" w:eastAsia="Times New Roman" w:hAnsi="Abadi" w:cs="Times New Roman"/>
          <w:kern w:val="0"/>
          <w:sz w:val="28"/>
          <w:szCs w:val="28"/>
          <w:lang w:eastAsia="en-AE"/>
          <w14:ligatures w14:val="none"/>
        </w:rPr>
        <w:br/>
      </w:r>
    </w:p>
    <w:p w14:paraId="641A2EE5"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Youth Engagement</w:t>
      </w:r>
      <w:r>
        <w:rPr>
          <w:rFonts w:ascii="Abadi" w:eastAsia="Times New Roman" w:hAnsi="Abadi" w:cs="Times New Roman"/>
          <w:kern w:val="0"/>
          <w:sz w:val="28"/>
          <w:szCs w:val="28"/>
          <w:lang w:eastAsia="en-AE"/>
          <w14:ligatures w14:val="none"/>
        </w:rPr>
        <w:t xml:space="preserve"> "In recent years, there has been a noticeable increase in youth engagement in civic activities. Initiatives like the 'Palestinian Youth Empowerment Program' and youth-led organizations such as 'Sharek Youth Forum' have gained traction, </w:t>
      </w:r>
      <w:r>
        <w:rPr>
          <w:rFonts w:ascii="Abadi" w:eastAsia="Times New Roman" w:hAnsi="Abadi" w:cs="Times New Roman"/>
          <w:kern w:val="0"/>
          <w:sz w:val="28"/>
          <w:szCs w:val="28"/>
          <w:lang w:eastAsia="en-AE"/>
          <w14:ligatures w14:val="none"/>
        </w:rPr>
        <w:lastRenderedPageBreak/>
        <w:t>promoting active participation in community development, political discourse, and social entrepreneurship."</w:t>
      </w:r>
    </w:p>
    <w:p w14:paraId="5B86030C"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Facing Youth Involvement</w:t>
      </w:r>
      <w:r>
        <w:rPr>
          <w:rFonts w:ascii="Abadi" w:eastAsia="Times New Roman" w:hAnsi="Abadi" w:cs="Times New Roman"/>
          <w:kern w:val="0"/>
          <w:sz w:val="28"/>
          <w:szCs w:val="28"/>
          <w:lang w:eastAsia="en-AE"/>
          <w14:ligatures w14:val="none"/>
        </w:rPr>
        <w:t xml:space="preserve"> "Despite their enthusiasm, Palestinian youth face significant challenges, including high unemployment rates, limited access to decision-making platforms, and social barriers imposed by traditional norms. These obstacles often hinder their ability to influence meaningful change within their communities."</w:t>
      </w:r>
      <w:r>
        <w:rPr>
          <w:rFonts w:ascii="Abadi" w:eastAsia="Times New Roman" w:hAnsi="Abadi" w:cs="Times New Roman"/>
          <w:kern w:val="0"/>
          <w:sz w:val="28"/>
          <w:szCs w:val="28"/>
          <w:lang w:eastAsia="en-AE"/>
          <w14:ligatures w14:val="none"/>
        </w:rPr>
        <w:br/>
      </w:r>
    </w:p>
    <w:p w14:paraId="3F2FC6DD"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Strengths of Traditional Leadership Structures</w:t>
      </w:r>
      <w:r>
        <w:rPr>
          <w:rFonts w:ascii="Abadi" w:eastAsia="Times New Roman" w:hAnsi="Abadi" w:cs="Times New Roman"/>
          <w:kern w:val="0"/>
          <w:sz w:val="28"/>
          <w:szCs w:val="28"/>
          <w:lang w:eastAsia="en-AE"/>
          <w14:ligatures w14:val="none"/>
        </w:rPr>
        <w:t xml:space="preserve"> "Traditional leadership structures offer stability, cultural continuity, and a wealth of experience. Established leaders often possess a deep understanding of local customs, historical contexts, and long-standing political strategies that have helped navigate complex socio-political environments."</w:t>
      </w:r>
      <w:r>
        <w:rPr>
          <w:rFonts w:ascii="Abadi" w:eastAsia="Times New Roman" w:hAnsi="Abadi" w:cs="Times New Roman"/>
          <w:kern w:val="0"/>
          <w:sz w:val="28"/>
          <w:szCs w:val="28"/>
          <w:lang w:eastAsia="en-AE"/>
          <w14:ligatures w14:val="none"/>
        </w:rPr>
        <w:br/>
      </w:r>
    </w:p>
    <w:p w14:paraId="26ECEE85"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Potential Benefits of Youth Involvement</w:t>
      </w:r>
      <w:r>
        <w:rPr>
          <w:rFonts w:ascii="Abadi" w:eastAsia="Times New Roman" w:hAnsi="Abadi" w:cs="Times New Roman"/>
          <w:kern w:val="0"/>
          <w:sz w:val="28"/>
          <w:szCs w:val="28"/>
          <w:lang w:eastAsia="en-AE"/>
          <w14:ligatures w14:val="none"/>
        </w:rPr>
        <w:t xml:space="preserve"> "Youth involvement brings fresh perspectives, innovative solutions, and a high level of energy and adaptability. Young people are often more tech-savvy, better connected through digital platforms, and more open to new ideas and approaches that can drive social and political reform."</w:t>
      </w:r>
      <w:r>
        <w:rPr>
          <w:rFonts w:ascii="Abadi" w:eastAsia="Times New Roman" w:hAnsi="Abadi" w:cs="Times New Roman"/>
          <w:kern w:val="0"/>
          <w:sz w:val="28"/>
          <w:szCs w:val="28"/>
          <w:lang w:eastAsia="en-AE"/>
          <w14:ligatures w14:val="none"/>
        </w:rPr>
        <w:br/>
      </w:r>
    </w:p>
    <w:p w14:paraId="6A871CCF"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Impact on Governance and </w:t>
      </w:r>
      <w:proofErr w:type="gramStart"/>
      <w:r>
        <w:rPr>
          <w:rFonts w:ascii="Abadi" w:eastAsia="Times New Roman" w:hAnsi="Abadi" w:cs="Times New Roman"/>
          <w:b/>
          <w:bCs/>
          <w:kern w:val="0"/>
          <w:sz w:val="28"/>
          <w:szCs w:val="28"/>
          <w:lang w:eastAsia="en-AE"/>
          <w14:ligatures w14:val="none"/>
        </w:rPr>
        <w:t>Policy-Making</w:t>
      </w:r>
      <w:proofErr w:type="gramEnd"/>
      <w:r>
        <w:rPr>
          <w:rFonts w:ascii="Abadi" w:eastAsia="Times New Roman" w:hAnsi="Abadi" w:cs="Times New Roman"/>
          <w:kern w:val="0"/>
          <w:sz w:val="28"/>
          <w:szCs w:val="28"/>
          <w:lang w:eastAsia="en-AE"/>
          <w14:ligatures w14:val="none"/>
        </w:rPr>
        <w:t xml:space="preserve"> "The integration of youth into governance and policy-making processes can potentially lead to more inclusive and representative decision-making. This integration can also ensure that the interests and needs of the younger generation are adequately addressed in national policies."</w:t>
      </w:r>
      <w:r>
        <w:rPr>
          <w:rFonts w:ascii="Abadi" w:eastAsia="Times New Roman" w:hAnsi="Abadi" w:cs="Times New Roman"/>
          <w:kern w:val="0"/>
          <w:sz w:val="28"/>
          <w:szCs w:val="28"/>
          <w:lang w:eastAsia="en-AE"/>
          <w14:ligatures w14:val="none"/>
        </w:rPr>
        <w:br/>
      </w:r>
    </w:p>
    <w:p w14:paraId="5C692FC0"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Real-World Examples</w:t>
      </w:r>
      <w:r>
        <w:rPr>
          <w:rFonts w:ascii="Abadi" w:eastAsia="Times New Roman" w:hAnsi="Abadi" w:cs="Times New Roman"/>
          <w:kern w:val="0"/>
          <w:sz w:val="28"/>
          <w:szCs w:val="28"/>
          <w:lang w:eastAsia="en-AE"/>
          <w14:ligatures w14:val="none"/>
        </w:rPr>
        <w:t xml:space="preserve"> "We can look to examples from other regions where youth involvement has led to significant positive changes. For instance, the youth-led movements in Tunisia and Egypt during the Arab Spring demonstrated the power of young people in driving political change, though with varying long-term outcomes."</w:t>
      </w:r>
      <w:r>
        <w:rPr>
          <w:rFonts w:ascii="Abadi" w:eastAsia="Times New Roman" w:hAnsi="Abadi" w:cs="Times New Roman"/>
          <w:kern w:val="0"/>
          <w:sz w:val="28"/>
          <w:szCs w:val="28"/>
          <w:lang w:eastAsia="en-AE"/>
          <w14:ligatures w14:val="none"/>
        </w:rPr>
        <w:br/>
      </w:r>
    </w:p>
    <w:p w14:paraId="4A59D0EF"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Tradition and Innovation</w:t>
      </w:r>
      <w:r>
        <w:rPr>
          <w:rFonts w:ascii="Abadi" w:eastAsia="Times New Roman" w:hAnsi="Abadi" w:cs="Times New Roman"/>
          <w:kern w:val="0"/>
          <w:sz w:val="28"/>
          <w:szCs w:val="28"/>
          <w:lang w:eastAsia="en-AE"/>
          <w14:ligatures w14:val="none"/>
        </w:rPr>
        <w:t xml:space="preserve"> "The key question is how to balance the strengths of traditional leadership with the innovative potential of youth. Can these two groups collaborate effectively to create a more dynamic and resilient civil society, or will generational divides hinder progress?"</w:t>
      </w:r>
      <w:r>
        <w:rPr>
          <w:rFonts w:ascii="Abadi" w:eastAsia="Times New Roman" w:hAnsi="Abadi" w:cs="Times New Roman"/>
          <w:kern w:val="0"/>
          <w:sz w:val="28"/>
          <w:szCs w:val="28"/>
          <w:lang w:eastAsia="en-AE"/>
          <w14:ligatures w14:val="none"/>
        </w:rPr>
        <w:br/>
      </w:r>
    </w:p>
    <w:p w14:paraId="72B14826" w14:textId="77777777" w:rsidR="004854B9" w:rsidRDefault="004854B9" w:rsidP="004854B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Concluding Remarks</w:t>
      </w:r>
      <w:r>
        <w:rPr>
          <w:rFonts w:ascii="Abadi" w:eastAsia="Times New Roman" w:hAnsi="Abadi" w:cs="Times New Roman"/>
          <w:kern w:val="0"/>
          <w:sz w:val="28"/>
          <w:szCs w:val="28"/>
          <w:lang w:eastAsia="en-AE"/>
          <w14:ligatures w14:val="none"/>
        </w:rPr>
        <w:t xml:space="preserve"> "As we delve into tonight's debate, we aim to explore these questions deeply, examining the potential synergies </w:t>
      </w:r>
      <w:r>
        <w:rPr>
          <w:rFonts w:ascii="Abadi" w:eastAsia="Times New Roman" w:hAnsi="Abadi" w:cs="Times New Roman"/>
          <w:kern w:val="0"/>
          <w:sz w:val="28"/>
          <w:szCs w:val="28"/>
          <w:lang w:eastAsia="en-AE"/>
          <w14:ligatures w14:val="none"/>
        </w:rPr>
        <w:lastRenderedPageBreak/>
        <w:t>and between youth involvement and traditional leadership. By understanding the unique contributions and challenges of each, we can better chart a path forward for Palestine's future."</w:t>
      </w:r>
    </w:p>
    <w:p w14:paraId="1629C627" w14:textId="77777777" w:rsidR="004854B9" w:rsidRDefault="004854B9" w:rsidP="004854B9">
      <w:pPr>
        <w:rPr>
          <w:rFonts w:ascii="Abadi" w:hAnsi="Abadi"/>
          <w:sz w:val="28"/>
          <w:szCs w:val="28"/>
        </w:rPr>
      </w:pPr>
    </w:p>
    <w:p w14:paraId="5BA392D1"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5" w:name="_Toc170486488"/>
      <w:r>
        <w:rPr>
          <w:rFonts w:ascii="Abadi" w:eastAsia="Times New Roman" w:hAnsi="Abadi" w:cs="Times New Roman"/>
          <w:b/>
          <w:bCs/>
          <w:kern w:val="0"/>
          <w:sz w:val="28"/>
          <w:szCs w:val="28"/>
          <w:lang w:eastAsia="en-AE"/>
          <w14:ligatures w14:val="none"/>
        </w:rPr>
        <w:t>Advocate A Presentation: In Support of Youth Involvement</w:t>
      </w:r>
      <w:bookmarkEnd w:id="15"/>
    </w:p>
    <w:p w14:paraId="2D445529"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3183DBB0"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As we navigate the complexities of building a vibrant and resilient civil society in Palestine, it is imperative to recognize the transformative potential of youth involvement in civic activities. Our young people are not just the leaders of tomorrow but also the changemakers of today. Their active participation is crucial for fostering innovation, promoting inclusive governance, and addressing the unique challenges facing our nation."</w:t>
      </w:r>
    </w:p>
    <w:p w14:paraId="2A8FC7F4"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Demographic Realities</w:t>
      </w:r>
    </w:p>
    <w:p w14:paraId="68F6AD6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"Palestine has a predominantly young population, with over 70% of Palestinians under the age of 30. This demographic reality necessitates their inclusion in civic processes. Engaging this youthful demographic can harness their energy and creativity, ensuring that policies and initiatives resonate with the needs and aspirations of the majority."</w:t>
      </w:r>
    </w:p>
    <w:p w14:paraId="5A668F52"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Fresh Perspectives and Innovative Solutions</w:t>
      </w:r>
    </w:p>
    <w:p w14:paraId="2B952D42"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"Young people bring fresh perspectives and innovative solutions to longstanding issues. For instance, initiatives like the 'Youth Local Councils' in various Palestinian municipalities have demonstrated the ability of young leaders to introduce new approaches to community development, digital governance, and public service delivery. These councils have successfully implemented projects ranging from environmental sustainability to educational reform, showcasing the positive impact of youth-driven innovation."</w:t>
      </w:r>
    </w:p>
    <w:p w14:paraId="14F6091B"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Digital Proficiency and Modern Communication</w:t>
      </w:r>
    </w:p>
    <w:p w14:paraId="3DC8194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"Today's youth are digital natives, proficient in using modern communication tools and social media platforms. This digital proficiency allows them to mobilize support, raise awareness, and advocate for change more effectively than traditional methods. The 'We Are Not Numbers' project, for example, leverages storytelling and social media to amplify </w:t>
      </w:r>
      <w:r>
        <w:rPr>
          <w:rFonts w:ascii="Abadi" w:eastAsia="Times New Roman" w:hAnsi="Abadi" w:cs="Times New Roman"/>
          <w:kern w:val="0"/>
          <w:sz w:val="28"/>
          <w:szCs w:val="28"/>
          <w:lang w:eastAsia="en-AE"/>
          <w14:ligatures w14:val="none"/>
        </w:rPr>
        <w:lastRenderedPageBreak/>
        <w:t>Palestinian voices globally, highlighting issues and garnering international solidarity."</w:t>
      </w:r>
    </w:p>
    <w:p w14:paraId="407E11FB"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Promoting Accountability and Transparency</w:t>
      </w:r>
    </w:p>
    <w:p w14:paraId="3F84A09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"Youth involvement can promote greater accountability and transparency in governance. Young activists and organizations often champion anti-corruption measures and demand accountability from leaders. The '7amleh - The Arab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for the Advancement of Social Media' is one such organization that empowers Palestinian youth to use digital tools for social and political advocacy, promoting transparency and civic engagement."</w:t>
      </w:r>
    </w:p>
    <w:p w14:paraId="5E1111CD"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Enhancing Social Cohesion and Inclusion</w:t>
      </w:r>
    </w:p>
    <w:p w14:paraId="4FE4BC9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"Engaging youth in civic activities enhances social cohesion and inclusion. Programs like 'Sharek Youth Forum' and 'Palestinian Youth Association for Leadership and Rights Activation' (PYALARA) work to bridge divides, bringing together young people from different backgrounds to work on common goals. This fosters a sense of unity and shared purpose, essential for nation-building and social stability."</w:t>
      </w:r>
    </w:p>
    <w:p w14:paraId="1524B665" w14:textId="77777777" w:rsidR="004854B9" w:rsidRDefault="004854B9" w:rsidP="004854B9">
      <w:pPr>
        <w:rPr>
          <w:rFonts w:ascii="Abadi" w:hAnsi="Abadi"/>
          <w:sz w:val="28"/>
          <w:szCs w:val="28"/>
        </w:rPr>
      </w:pPr>
    </w:p>
    <w:p w14:paraId="3C75EE9F"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6" w:name="_Toc170486489"/>
      <w:r>
        <w:rPr>
          <w:rFonts w:ascii="Abadi" w:eastAsia="Times New Roman" w:hAnsi="Abadi" w:cs="Times New Roman"/>
          <w:b/>
          <w:bCs/>
          <w:kern w:val="0"/>
          <w:sz w:val="28"/>
          <w:szCs w:val="28"/>
          <w:lang w:eastAsia="en-AE"/>
          <w14:ligatures w14:val="none"/>
        </w:rPr>
        <w:t>Advocate A Responding to Advocate B</w:t>
      </w:r>
      <w:bookmarkEnd w:id="16"/>
    </w:p>
    <w:p w14:paraId="135030D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the historical role of traditional leadership in maintaining stability and social cohesion is undeniable, it is crucial to recognize that the evolving challenges of the 21st century require innovative solutions and fresh perspectives that the youth are well-positioned to provide. Traditional leaders, despite their experience and deep understanding of cultural contexts, often lack the digital proficiency and innovative mindset necessary to address contemporary issues effectively. The youth bring energy, adaptability, and a willingness to embrace new technologies and ideas, which are essential for driving sustainable development and fostering a more inclusive, responsive governance structure. Moreover, their engagement promotes accountability and transparency, challenging entrenched practices that may no longer serve the community's best interests."</w:t>
      </w:r>
    </w:p>
    <w:p w14:paraId="066F65BB" w14:textId="77777777" w:rsidR="004854B9" w:rsidRDefault="004854B9" w:rsidP="004854B9">
      <w:pPr>
        <w:rPr>
          <w:rFonts w:ascii="Abadi" w:hAnsi="Abadi"/>
          <w:sz w:val="28"/>
          <w:szCs w:val="28"/>
        </w:rPr>
      </w:pPr>
    </w:p>
    <w:p w14:paraId="7A9E696F"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486490"/>
      <w:r>
        <w:rPr>
          <w:rFonts w:ascii="Abadi" w:eastAsia="Times New Roman" w:hAnsi="Abadi" w:cs="Times New Roman"/>
          <w:b/>
          <w:bCs/>
          <w:kern w:val="0"/>
          <w:sz w:val="28"/>
          <w:szCs w:val="28"/>
          <w:lang w:eastAsia="en-AE"/>
          <w14:ligatures w14:val="none"/>
        </w:rPr>
        <w:t>Advocate B Responding to Advocate A</w:t>
      </w:r>
      <w:bookmarkEnd w:id="17"/>
    </w:p>
    <w:p w14:paraId="2A3FB180"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enthusiasm and innovative potential of youth are indeed valuable, yet it is essential to acknowledge the critical role of experience and stability </w:t>
      </w:r>
      <w:r>
        <w:rPr>
          <w:rFonts w:ascii="Abadi" w:eastAsia="Times New Roman" w:hAnsi="Abadi" w:cs="Times New Roman"/>
          <w:kern w:val="0"/>
          <w:sz w:val="28"/>
          <w:szCs w:val="28"/>
          <w:lang w:eastAsia="en-AE"/>
          <w14:ligatures w14:val="none"/>
        </w:rPr>
        <w:lastRenderedPageBreak/>
        <w:t>that traditional leadership offers. Youth, despite their fresh perspectives and digital proficiency, often lack the depth of understanding required to navigate complex socio-political landscapes and historical grievances. Traditional leaders bring a wealth of experience and established networks that are crucial for maintaining social order and securing resources. Furthermore, the continuity and preservation of cultural heritage, provided by these leaders, foster a sense of identity and unity that is vital for national cohesion. While youth involvement is important, it should complement rather than replace the foundational role of traditional leadership structures."</w:t>
      </w:r>
    </w:p>
    <w:p w14:paraId="68893DCF" w14:textId="77777777" w:rsidR="004854B9" w:rsidRDefault="004854B9" w:rsidP="004854B9">
      <w:pPr>
        <w:rPr>
          <w:rFonts w:ascii="Abadi" w:hAnsi="Abadi"/>
          <w:sz w:val="28"/>
          <w:szCs w:val="28"/>
        </w:rPr>
      </w:pPr>
    </w:p>
    <w:p w14:paraId="741524E2"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0486491"/>
      <w:r>
        <w:rPr>
          <w:rFonts w:ascii="Abadi" w:eastAsia="Times New Roman" w:hAnsi="Abadi" w:cs="Times New Roman"/>
          <w:b/>
          <w:bCs/>
          <w:kern w:val="0"/>
          <w:sz w:val="28"/>
          <w:szCs w:val="28"/>
          <w:lang w:eastAsia="en-AE"/>
          <w14:ligatures w14:val="none"/>
        </w:rPr>
        <w:t>Moderator's Summary</w:t>
      </w:r>
      <w:bookmarkEnd w:id="18"/>
    </w:p>
    <w:p w14:paraId="6A34E78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"Thank you to both of our advocates for a thought-provoking and insightful discussion on the roles of youth involvement versus traditional leadership structures in Palestinian civic engagement. Advocate A highlighted the dynamic potential of the youth, emphasizing their innovative capabilities, digital proficiency, and the fresh perspectives they bring to addressing modern challenges. They argued that engaging the youth can lead to more inclusive and transparent governance, ensuring that the majority of the population is </w:t>
      </w:r>
      <w:proofErr w:type="gramStart"/>
      <w:r>
        <w:rPr>
          <w:rFonts w:ascii="Abadi" w:eastAsia="Times New Roman" w:hAnsi="Abadi" w:cs="Times New Roman"/>
          <w:kern w:val="0"/>
          <w:sz w:val="28"/>
          <w:szCs w:val="28"/>
          <w:lang w:eastAsia="en-AE"/>
          <w14:ligatures w14:val="none"/>
        </w:rPr>
        <w:t>represented</w:t>
      </w:r>
      <w:proofErr w:type="gramEnd"/>
      <w:r>
        <w:rPr>
          <w:rFonts w:ascii="Abadi" w:eastAsia="Times New Roman" w:hAnsi="Abadi" w:cs="Times New Roman"/>
          <w:kern w:val="0"/>
          <w:sz w:val="28"/>
          <w:szCs w:val="28"/>
          <w:lang w:eastAsia="en-AE"/>
          <w14:ligatures w14:val="none"/>
        </w:rPr>
        <w:t xml:space="preserve"> and their needs are addressed.</w:t>
      </w:r>
    </w:p>
    <w:p w14:paraId="0AA27EB6"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underscored the importance of stability, experience, and cultural continuity provided by traditional leadership. They argued that traditional leaders, with their deep understanding of local contexts and extensive networks, play a crucial role in maintaining social cohesion and effectively navigating the complex socio-political landscape of Palestine. Their experienced decision-making and ability to secure resources were presented as invaluable assets that should not be overlooked.</w:t>
      </w:r>
    </w:p>
    <w:p w14:paraId="16E3B1BC"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youth involvement and traditional leadership have critical roles to play in the development of Palestinian civil society. The challenge lies in finding a balanced approach that leverages the strengths of both groups. By integrating the innovative energy of the youth with the stability and experience of traditional leaders, Palestine can foster a more resilient, inclusive, and forward-looking society. This balanced approach can ensure that while we </w:t>
      </w:r>
      <w:proofErr w:type="spellStart"/>
      <w:r>
        <w:rPr>
          <w:rFonts w:ascii="Abadi" w:eastAsia="Times New Roman" w:hAnsi="Abadi" w:cs="Times New Roman"/>
          <w:kern w:val="0"/>
          <w:sz w:val="28"/>
          <w:szCs w:val="28"/>
          <w:lang w:eastAsia="en-AE"/>
          <w14:ligatures w14:val="none"/>
        </w:rPr>
        <w:t>honor</w:t>
      </w:r>
      <w:proofErr w:type="spellEnd"/>
      <w:r>
        <w:rPr>
          <w:rFonts w:ascii="Abadi" w:eastAsia="Times New Roman" w:hAnsi="Abadi" w:cs="Times New Roman"/>
          <w:kern w:val="0"/>
          <w:sz w:val="28"/>
          <w:szCs w:val="28"/>
          <w:lang w:eastAsia="en-AE"/>
          <w14:ligatures w14:val="none"/>
        </w:rPr>
        <w:t xml:space="preserve"> and preserve our cultural heritage, we also adapt to the evolving demands of the modern world.</w:t>
      </w:r>
    </w:p>
    <w:p w14:paraId="382633D1"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 encourage all stakeholders, from government bodies to community organizations, to consider how best to facilitate this integration, promoting dialogue and collaboration between the generations. The future of Palestine depends on our ability to harness the full potential of all our citizens, young and old alike."</w:t>
      </w:r>
    </w:p>
    <w:p w14:paraId="2C9EAD72" w14:textId="77777777" w:rsidR="004854B9" w:rsidRDefault="004854B9" w:rsidP="004854B9">
      <w:pPr>
        <w:rPr>
          <w:rFonts w:ascii="Abadi" w:hAnsi="Abadi"/>
          <w:sz w:val="28"/>
          <w:szCs w:val="28"/>
        </w:rPr>
      </w:pPr>
    </w:p>
    <w:p w14:paraId="5E70C40E"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0486492"/>
      <w:r>
        <w:rPr>
          <w:rFonts w:ascii="Abadi" w:eastAsia="Times New Roman" w:hAnsi="Abadi" w:cs="Times New Roman"/>
          <w:b/>
          <w:bCs/>
          <w:kern w:val="0"/>
          <w:sz w:val="28"/>
          <w:szCs w:val="28"/>
          <w:lang w:eastAsia="en-AE"/>
          <w14:ligatures w14:val="none"/>
        </w:rPr>
        <w:t>Reflective Questions for Further Consideration</w:t>
      </w:r>
      <w:bookmarkEnd w:id="19"/>
    </w:p>
    <w:p w14:paraId="271E3E87" w14:textId="77777777" w:rsidR="004854B9" w:rsidRDefault="004854B9" w:rsidP="004854B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traditional leaders and young activists work together effectively?</w:t>
      </w:r>
    </w:p>
    <w:p w14:paraId="4E519B08" w14:textId="77777777" w:rsidR="004854B9" w:rsidRDefault="004854B9" w:rsidP="004854B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can be done to improve the digital skills of traditional leaders?</w:t>
      </w:r>
    </w:p>
    <w:p w14:paraId="2BB56184" w14:textId="77777777" w:rsidR="004854B9" w:rsidRDefault="004854B9" w:rsidP="004854B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create platforms that include both youth and traditional leaders?</w:t>
      </w:r>
    </w:p>
    <w:p w14:paraId="686AD619" w14:textId="77777777" w:rsidR="004854B9" w:rsidRDefault="004854B9" w:rsidP="004854B9">
      <w:pPr>
        <w:rPr>
          <w:rFonts w:ascii="Abadi" w:hAnsi="Abadi"/>
          <w:sz w:val="28"/>
          <w:szCs w:val="28"/>
        </w:rPr>
      </w:pPr>
      <w:r>
        <w:rPr>
          <w:rFonts w:ascii="Abadi" w:hAnsi="Abadi"/>
          <w:kern w:val="0"/>
          <w:sz w:val="28"/>
          <w:szCs w:val="28"/>
          <w14:ligatures w14:val="none"/>
        </w:rPr>
        <w:br w:type="page"/>
      </w:r>
    </w:p>
    <w:p w14:paraId="65A4726B" w14:textId="77777777" w:rsidR="004854B9" w:rsidRPr="003E5FD5" w:rsidRDefault="004854B9" w:rsidP="003E5FD5">
      <w:pPr>
        <w:pStyle w:val="Heading1"/>
        <w:pBdr>
          <w:bottom w:val="single" w:sz="4" w:space="1" w:color="auto"/>
        </w:pBdr>
      </w:pPr>
      <w:bookmarkStart w:id="20" w:name="_Toc170486493"/>
      <w:r w:rsidRPr="003E5FD5">
        <w:lastRenderedPageBreak/>
        <w:t>Debate Topic 2: Digital Activism vs. Traditional Forms of Civic Engagement</w:t>
      </w:r>
      <w:bookmarkEnd w:id="20"/>
      <w:r w:rsidRPr="003E5FD5">
        <w:br/>
      </w:r>
    </w:p>
    <w:p w14:paraId="70C65DF1"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50ED60C"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digital activism versus traditional forms of civic engagement is crucial for understanding the evolving landscape of political and social participation in Palestine. Digital activism leverages online platforms, social media, and digital tools to mobilize support, raise awareness, and drive change. Traditional civic engagement, on the other hand, relies on established methods such as community meetings, protests, and organized lobbying. This discussion examines the effectiveness, accessibility, and impact of these two approaches in fostering civic participation and achieving social and political goals.</w:t>
      </w:r>
    </w:p>
    <w:p w14:paraId="253648A0" w14:textId="77777777" w:rsidR="004854B9" w:rsidRDefault="004854B9" w:rsidP="004854B9">
      <w:pPr>
        <w:rPr>
          <w:rFonts w:ascii="Abadi" w:hAnsi="Abadi"/>
          <w:sz w:val="28"/>
          <w:szCs w:val="28"/>
        </w:rPr>
      </w:pPr>
    </w:p>
    <w:p w14:paraId="2E8CF9CB"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1" w:name="_Toc170486494"/>
      <w:r>
        <w:rPr>
          <w:rFonts w:ascii="Abadi" w:eastAsia="Times New Roman" w:hAnsi="Abadi" w:cs="Times New Roman"/>
          <w:b/>
          <w:bCs/>
          <w:kern w:val="0"/>
          <w:sz w:val="28"/>
          <w:szCs w:val="28"/>
          <w:lang w:eastAsia="en-AE"/>
          <w14:ligatures w14:val="none"/>
        </w:rPr>
        <w:t>Moderator's Presentation</w:t>
      </w:r>
      <w:bookmarkEnd w:id="21"/>
    </w:p>
    <w:p w14:paraId="7157A826"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address a critical topic that reflects the changing dynamics of civic engagement in Palestine: Digital Activism versus Traditional Forms of Civic Engagement. As technology continues to evolve and become more integrated into our daily lives, it is essential to explore how these different methods of activism impact our society."</w:t>
      </w:r>
      <w:r>
        <w:rPr>
          <w:rFonts w:ascii="Abadi" w:eastAsia="Times New Roman" w:hAnsi="Abadi" w:cs="Times New Roman"/>
          <w:kern w:val="0"/>
          <w:sz w:val="28"/>
          <w:szCs w:val="28"/>
          <w:lang w:eastAsia="en-AE"/>
          <w14:ligatures w14:val="none"/>
        </w:rPr>
        <w:br/>
      </w:r>
    </w:p>
    <w:p w14:paraId="4ADABDFA"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Historical Background</w:t>
      </w:r>
      <w:r>
        <w:rPr>
          <w:rFonts w:ascii="Abadi" w:eastAsia="Times New Roman" w:hAnsi="Abadi" w:cs="Times New Roman"/>
          <w:kern w:val="0"/>
          <w:sz w:val="28"/>
          <w:szCs w:val="28"/>
          <w:lang w:eastAsia="en-AE"/>
          <w14:ligatures w14:val="none"/>
        </w:rPr>
        <w:t xml:space="preserve"> "Traditional forms of civic engagement, such as community meetings, protests, and lobbying, have long been the cornerstone of political and social participation in Palestine. These methods have historically mobilized communities, driven political change, and addressed social issues. However, with the advent of the internet and social media, digital activism has emerged as a powerful tool for mobilizing support and raising awareness on a global scale."</w:t>
      </w:r>
      <w:r>
        <w:rPr>
          <w:rFonts w:ascii="Abadi" w:eastAsia="Times New Roman" w:hAnsi="Abadi" w:cs="Times New Roman"/>
          <w:kern w:val="0"/>
          <w:sz w:val="28"/>
          <w:szCs w:val="28"/>
          <w:lang w:eastAsia="en-AE"/>
          <w14:ligatures w14:val="none"/>
        </w:rPr>
        <w:br/>
      </w:r>
    </w:p>
    <w:p w14:paraId="44B7098B"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Digital Activism</w:t>
      </w:r>
      <w:r>
        <w:rPr>
          <w:rFonts w:ascii="Abadi" w:eastAsia="Times New Roman" w:hAnsi="Abadi" w:cs="Times New Roman"/>
          <w:kern w:val="0"/>
          <w:sz w:val="28"/>
          <w:szCs w:val="28"/>
          <w:lang w:eastAsia="en-AE"/>
          <w14:ligatures w14:val="none"/>
        </w:rPr>
        <w:t xml:space="preserve"> "Digital activism in Palestine has seen significant growth, particularly among the youth. Platforms like Facebook, Twitter, and Instagram are widely used to organize campaigns, share information, and connect with international audiences. Notable initiatives include the 'We Are Not Numbers' project, which uses digital storytelling to highlight Palestinian </w:t>
      </w:r>
      <w:r>
        <w:rPr>
          <w:rFonts w:ascii="Abadi" w:eastAsia="Times New Roman" w:hAnsi="Abadi" w:cs="Times New Roman"/>
          <w:kern w:val="0"/>
          <w:sz w:val="28"/>
          <w:szCs w:val="28"/>
          <w:lang w:eastAsia="en-AE"/>
          <w14:ligatures w14:val="none"/>
        </w:rPr>
        <w:lastRenderedPageBreak/>
        <w:t>experiences, and the widespread use of social media during the 2021 and 2022 escalations to garner international support and solidarity."</w:t>
      </w:r>
    </w:p>
    <w:p w14:paraId="3CF5FEA6"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Reach</w:t>
      </w:r>
      <w:r>
        <w:rPr>
          <w:rFonts w:ascii="Abadi" w:eastAsia="Times New Roman" w:hAnsi="Abadi" w:cs="Times New Roman"/>
          <w:kern w:val="0"/>
          <w:sz w:val="28"/>
          <w:szCs w:val="28"/>
          <w:lang w:eastAsia="en-AE"/>
          <w14:ligatures w14:val="none"/>
        </w:rPr>
        <w:t xml:space="preserve"> "One of the key advantages of digital activism is its accessibility and extensive reach. It allows activists to bypass traditional media gatekeepers and directly communicate with a global audience. This was evident during the 'Save Sheikh Jarrah' campaign, where social media played a crucial role in bringing international attention to the evictions in East Jerusalem. However, access to technology and the internet can be uneven, particularly in areas with poor infrastructure."</w:t>
      </w:r>
      <w:r>
        <w:rPr>
          <w:rFonts w:ascii="Abadi" w:eastAsia="Times New Roman" w:hAnsi="Abadi" w:cs="Times New Roman"/>
          <w:kern w:val="0"/>
          <w:sz w:val="28"/>
          <w:szCs w:val="28"/>
          <w:lang w:eastAsia="en-AE"/>
          <w14:ligatures w14:val="none"/>
        </w:rPr>
        <w:br/>
      </w:r>
    </w:p>
    <w:p w14:paraId="44370863"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Effectiveness and Impact</w:t>
      </w:r>
      <w:r>
        <w:rPr>
          <w:rFonts w:ascii="Abadi" w:eastAsia="Times New Roman" w:hAnsi="Abadi" w:cs="Times New Roman"/>
          <w:kern w:val="0"/>
          <w:sz w:val="28"/>
          <w:szCs w:val="28"/>
          <w:lang w:eastAsia="en-AE"/>
          <w14:ligatures w14:val="none"/>
        </w:rPr>
        <w:t xml:space="preserve"> "Digital activism can quickly mobilize large numbers of people, as seen with the rapid spread of hashtags and viral posts. However, its impact on long-term change is debated. While online campaigns can raise awareness and put pressure on decision-makers, critics argue that they sometimes lack the sustained effort needed for deep-rooted change, a phenomenon known as 'slacktivism'. On the other hand, traditional forms of engagement, like the 'Great March of Return', have shown the ability to sustain momentum and draw international media coverage over extended periods."</w:t>
      </w:r>
      <w:r>
        <w:rPr>
          <w:rFonts w:ascii="Abadi" w:eastAsia="Times New Roman" w:hAnsi="Abadi" w:cs="Times New Roman"/>
          <w:kern w:val="0"/>
          <w:sz w:val="28"/>
          <w:szCs w:val="28"/>
          <w:lang w:eastAsia="en-AE"/>
          <w14:ligatures w14:val="none"/>
        </w:rPr>
        <w:br/>
      </w:r>
    </w:p>
    <w:p w14:paraId="0E498EE4"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and Censorship Concerns</w:t>
      </w:r>
      <w:r>
        <w:rPr>
          <w:rFonts w:ascii="Abadi" w:eastAsia="Times New Roman" w:hAnsi="Abadi" w:cs="Times New Roman"/>
          <w:kern w:val="0"/>
          <w:sz w:val="28"/>
          <w:szCs w:val="28"/>
          <w:lang w:eastAsia="en-AE"/>
          <w14:ligatures w14:val="none"/>
        </w:rPr>
        <w:t xml:space="preserve"> "Digital platforms are not without their challenges. Activists face risks of surveillance, censorship, and online harassment. Palestinian activists have reported social media accounts being suspended or content being removed, particularly during heightened periods of Israeli aggression. Traditional activism, while also subject to surveillance and repression, often operates within known community networks that can offer some level of protection and support."</w:t>
      </w:r>
      <w:r>
        <w:rPr>
          <w:rFonts w:ascii="Abadi" w:eastAsia="Times New Roman" w:hAnsi="Abadi" w:cs="Times New Roman"/>
          <w:kern w:val="0"/>
          <w:sz w:val="28"/>
          <w:szCs w:val="28"/>
          <w:lang w:eastAsia="en-AE"/>
          <w14:ligatures w14:val="none"/>
        </w:rPr>
        <w:br/>
      </w:r>
    </w:p>
    <w:p w14:paraId="36FB7AE6"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Building and Solidarity</w:t>
      </w:r>
      <w:r>
        <w:rPr>
          <w:rFonts w:ascii="Abadi" w:eastAsia="Times New Roman" w:hAnsi="Abadi" w:cs="Times New Roman"/>
          <w:kern w:val="0"/>
          <w:sz w:val="28"/>
          <w:szCs w:val="28"/>
          <w:lang w:eastAsia="en-AE"/>
          <w14:ligatures w14:val="none"/>
        </w:rPr>
        <w:t xml:space="preserve"> "Traditional forms of civic engagement are deeply rooted in face-to-face interactions, which can strengthen community bonds and foster a sense of solidarity. Events such as community meetings and protests create spaces for direct dialogue and collective action. Digital activism, while effective in connecting dispersed individuals, can sometimes struggle to create the same depth of community connection."</w:t>
      </w:r>
      <w:r>
        <w:rPr>
          <w:rFonts w:ascii="Abadi" w:eastAsia="Times New Roman" w:hAnsi="Abadi" w:cs="Times New Roman"/>
          <w:kern w:val="0"/>
          <w:sz w:val="28"/>
          <w:szCs w:val="28"/>
          <w:lang w:eastAsia="en-AE"/>
          <w14:ligatures w14:val="none"/>
        </w:rPr>
        <w:br/>
      </w:r>
    </w:p>
    <w:p w14:paraId="68A69AA0"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xml:space="preserve"> "Both forms of activism have distinct methods of mobilizing resources. Digital platforms can quickly gather donations and support through online fundraising campaigns, as </w:t>
      </w:r>
      <w:r>
        <w:rPr>
          <w:rFonts w:ascii="Abadi" w:eastAsia="Times New Roman" w:hAnsi="Abadi" w:cs="Times New Roman"/>
          <w:kern w:val="0"/>
          <w:sz w:val="28"/>
          <w:szCs w:val="28"/>
          <w:lang w:eastAsia="en-AE"/>
          <w14:ligatures w14:val="none"/>
        </w:rPr>
        <w:lastRenderedPageBreak/>
        <w:t>seen with various humanitarian efforts. Traditional methods, such as local fundraising events and community drives, rely on direct personal interactions and established trust networks."</w:t>
      </w:r>
      <w:r>
        <w:rPr>
          <w:rFonts w:ascii="Abadi" w:eastAsia="Times New Roman" w:hAnsi="Abadi" w:cs="Times New Roman"/>
          <w:kern w:val="0"/>
          <w:sz w:val="28"/>
          <w:szCs w:val="28"/>
          <w:lang w:eastAsia="en-AE"/>
          <w14:ligatures w14:val="none"/>
        </w:rPr>
        <w:br/>
      </w:r>
    </w:p>
    <w:p w14:paraId="5A86DA7E"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Inclusivity and Representation</w:t>
      </w:r>
      <w:r>
        <w:rPr>
          <w:rFonts w:ascii="Abadi" w:eastAsia="Times New Roman" w:hAnsi="Abadi" w:cs="Times New Roman"/>
          <w:kern w:val="0"/>
          <w:sz w:val="28"/>
          <w:szCs w:val="28"/>
          <w:lang w:eastAsia="en-AE"/>
          <w14:ligatures w14:val="none"/>
        </w:rPr>
        <w:t xml:space="preserve"> "Digital activism can amplify marginalized voices, providing a platform for those who may not have access to traditional forms of engagement. Women, young people, and other underrepresented groups have used social media to raise their issues and advocate for change. However, the digital divide can exclude those without access to technology, making it essential to find ways to bridge this gap."</w:t>
      </w:r>
      <w:r>
        <w:rPr>
          <w:rFonts w:ascii="Abadi" w:eastAsia="Times New Roman" w:hAnsi="Abadi" w:cs="Times New Roman"/>
          <w:kern w:val="0"/>
          <w:sz w:val="28"/>
          <w:szCs w:val="28"/>
          <w:lang w:eastAsia="en-AE"/>
          <w14:ligatures w14:val="none"/>
        </w:rPr>
        <w:br/>
      </w:r>
    </w:p>
    <w:p w14:paraId="027902F9" w14:textId="77777777" w:rsidR="004854B9" w:rsidRDefault="004854B9" w:rsidP="004854B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and Hybrid Approaches</w:t>
      </w:r>
      <w:r>
        <w:rPr>
          <w:rFonts w:ascii="Abadi" w:eastAsia="Times New Roman" w:hAnsi="Abadi" w:cs="Times New Roman"/>
          <w:kern w:val="0"/>
          <w:sz w:val="28"/>
          <w:szCs w:val="28"/>
          <w:lang w:eastAsia="en-AE"/>
          <w14:ligatures w14:val="none"/>
        </w:rPr>
        <w:t xml:space="preserve"> "The future of civic engagement in Palestine may lie in hybrid approaches that combine the strengths of both digital and traditional methods. By leveraging the reach and speed of digital activism with the deep-rooted connections and sustained efforts of traditional engagement, Palestinian society can create a more inclusive and effective model for social and political participation."</w:t>
      </w:r>
    </w:p>
    <w:p w14:paraId="7773ACD9" w14:textId="77777777" w:rsidR="004854B9" w:rsidRDefault="004854B9" w:rsidP="004854B9">
      <w:pPr>
        <w:rPr>
          <w:rFonts w:ascii="Abadi" w:hAnsi="Abadi"/>
          <w:sz w:val="28"/>
          <w:szCs w:val="28"/>
        </w:rPr>
      </w:pPr>
    </w:p>
    <w:p w14:paraId="2BBAE8FC"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0486495"/>
      <w:r>
        <w:rPr>
          <w:rFonts w:ascii="Abadi" w:eastAsia="Times New Roman" w:hAnsi="Abadi" w:cs="Times New Roman"/>
          <w:b/>
          <w:bCs/>
          <w:kern w:val="0"/>
          <w:sz w:val="28"/>
          <w:szCs w:val="28"/>
          <w:lang w:eastAsia="en-AE"/>
          <w14:ligatures w14:val="none"/>
        </w:rPr>
        <w:t>Advocate A Presentation: In Support of Digital Activism</w:t>
      </w:r>
      <w:bookmarkEnd w:id="22"/>
    </w:p>
    <w:p w14:paraId="3C88E889"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6B4D933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As we explore the evolving landscape of civic engagement in Palestine, I stand in strong support of digital activism. This modern approach to activism leverages technology and social media to create powerful movements, mobilize support, and drive change efficiently and effectively. Digital activism is not only the future but also a crucial tool for addressing the immediate needs of our society."</w:t>
      </w:r>
    </w:p>
    <w:p w14:paraId="1A151E04"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Broad Accessibility and Reach</w:t>
      </w:r>
    </w:p>
    <w:p w14:paraId="372D3720"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"Digital activism offers unparalleled accessibility and reach. It allows individuals from all walks of life to participate in civic activities regardless of their physical location. For example, the 'Save Sheikh Jarrah' campaign effectively utilized social media platforms to bring international attention to the evictions in East Jerusalem, mobilizing support and solidarity from around the globe. The ability to instantly share information and rally support transcends geographical barriers, making activism more inclusive and far-reaching."</w:t>
      </w:r>
    </w:p>
    <w:p w14:paraId="5CA89EE4"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2. Rapid Mobilization and Awareness</w:t>
      </w:r>
    </w:p>
    <w:p w14:paraId="4BE4699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speed at which digital activism can mobilize people and raise awareness is unprecedented. Hashtags like #FreePalestine and #GazaUnderAttack trend within hours, drawing global attention to pressing issues. This rapid mobilization was evident during the May 2021 escalations, where social media played a pivotal role in highlighting the realities on the ground and garnering international support. Digital platforms allow activists to respond quickly to events, creating a sense of urgency and immediate action."</w:t>
      </w:r>
    </w:p>
    <w:p w14:paraId="14B4B59B"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Amplifying Marginalized Voices</w:t>
      </w:r>
    </w:p>
    <w:p w14:paraId="73A7C1AA"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"Digital activism provides a platform for marginalized voices that might be overlooked in traditional media. Women, youth, and other underrepresented groups can share their stories and advocate for their rights directly. Projects like 'We Are Not Numbers' empower young Palestinians to tell their personal stories, reaching audiences that traditional forms of activism might not. This amplification is crucial for ensuring a diverse range of perspectives and experiences are heard and acknowledged."</w:t>
      </w:r>
    </w:p>
    <w:p w14:paraId="05BD861B"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Cost-Effective and Resource Efficient</w:t>
      </w:r>
    </w:p>
    <w:p w14:paraId="52CE6A49"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"Engaging in digital activism is significantly more cost-effective than traditional forms of engagement. It reduces the need for physical resources such as meeting spaces, transportation, and printed materials. Online campaigns can be launched and maintained with minimal financial investment, allowing activists to allocate their resources more efficiently. This cost-effectiveness is particularly beneficial in Palestine, where economic constraints often limit traditional activism."</w:t>
      </w:r>
    </w:p>
    <w:p w14:paraId="53D0605D"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Innovation and Creativity in Advocacy</w:t>
      </w:r>
    </w:p>
    <w:p w14:paraId="7C0DB48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"Digital activism fosters innovation and creativity in advocacy. Activists can use a variety of multimedia tools, including videos, infographics, and interactive content, to engage and educate their audience. Campaigns like 'Visualizing Palestine' use data-driven graphics to communicate complex issues in an accessible and compelling way. This creativity not only captures attention but also enhances understanding and retention of critical information."</w:t>
      </w:r>
    </w:p>
    <w:p w14:paraId="34D4DDEB" w14:textId="77777777" w:rsidR="004854B9" w:rsidRDefault="004854B9" w:rsidP="004854B9">
      <w:pPr>
        <w:rPr>
          <w:rFonts w:ascii="Abadi" w:hAnsi="Abadi"/>
          <w:sz w:val="28"/>
          <w:szCs w:val="28"/>
        </w:rPr>
      </w:pPr>
    </w:p>
    <w:p w14:paraId="65523F89"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0486496"/>
      <w:r>
        <w:rPr>
          <w:rFonts w:ascii="Abadi" w:eastAsia="Times New Roman" w:hAnsi="Abadi" w:cs="Times New Roman"/>
          <w:b/>
          <w:bCs/>
          <w:kern w:val="0"/>
          <w:sz w:val="28"/>
          <w:szCs w:val="28"/>
          <w:lang w:eastAsia="en-AE"/>
          <w14:ligatures w14:val="none"/>
        </w:rPr>
        <w:lastRenderedPageBreak/>
        <w:t>Advocate B Presentation: In Favor of Traditional Forms of Civic Engagement</w:t>
      </w:r>
      <w:bookmarkEnd w:id="23"/>
    </w:p>
    <w:p w14:paraId="1F5C4955"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3275FE3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digital activism has undoubtedly expanded the avenues for civic participation, I advocate for the enduring importance of traditional forms of civic engagement in Palestine. These methods, rooted in direct community interaction and physical presence, provide a depth of connection and sustained impact that digital activism often struggles to achieve."</w:t>
      </w:r>
    </w:p>
    <w:p w14:paraId="73A5A678"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Deep Community Bonds and Trust</w:t>
      </w:r>
    </w:p>
    <w:p w14:paraId="34F02F6C"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forms of civic engagement, such as community meetings and local protests, build deep bonds and trust within communities. These face-to-face interactions foster a strong sense of solidarity and collective identity that digital platforms cannot replicate. Events like the 'Great March of Return' have brought together thousands of Palestinians in a shared physical space, creating a powerful sense of unity and purpose that online campaigns often lack."</w:t>
      </w:r>
    </w:p>
    <w:p w14:paraId="7D581660"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Sustained and Long-Term Commitment</w:t>
      </w:r>
    </w:p>
    <w:p w14:paraId="375F6067"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"Traditional activism is characterized by sustained, long-term commitment. Unlike the </w:t>
      </w:r>
      <w:proofErr w:type="gramStart"/>
      <w:r>
        <w:rPr>
          <w:rFonts w:ascii="Abadi" w:eastAsia="Times New Roman" w:hAnsi="Abadi" w:cs="Times New Roman"/>
          <w:kern w:val="0"/>
          <w:sz w:val="28"/>
          <w:szCs w:val="28"/>
          <w:lang w:eastAsia="en-AE"/>
          <w14:ligatures w14:val="none"/>
        </w:rPr>
        <w:t>often fleeting</w:t>
      </w:r>
      <w:proofErr w:type="gramEnd"/>
      <w:r>
        <w:rPr>
          <w:rFonts w:ascii="Abadi" w:eastAsia="Times New Roman" w:hAnsi="Abadi" w:cs="Times New Roman"/>
          <w:kern w:val="0"/>
          <w:sz w:val="28"/>
          <w:szCs w:val="28"/>
          <w:lang w:eastAsia="en-AE"/>
          <w14:ligatures w14:val="none"/>
        </w:rPr>
        <w:t xml:space="preserve"> nature of digital campaigns, traditional methods involve continuous efforts and follow-through. The ongoing protests in </w:t>
      </w:r>
      <w:proofErr w:type="spellStart"/>
      <w:r>
        <w:rPr>
          <w:rFonts w:ascii="Abadi" w:eastAsia="Times New Roman" w:hAnsi="Abadi" w:cs="Times New Roman"/>
          <w:kern w:val="0"/>
          <w:sz w:val="28"/>
          <w:szCs w:val="28"/>
          <w:lang w:eastAsia="en-AE"/>
          <w14:ligatures w14:val="none"/>
        </w:rPr>
        <w:t>Bil'in</w:t>
      </w:r>
      <w:proofErr w:type="spellEnd"/>
      <w:r>
        <w:rPr>
          <w:rFonts w:ascii="Abadi" w:eastAsia="Times New Roman" w:hAnsi="Abadi" w:cs="Times New Roman"/>
          <w:kern w:val="0"/>
          <w:sz w:val="28"/>
          <w:szCs w:val="28"/>
          <w:lang w:eastAsia="en-AE"/>
          <w14:ligatures w14:val="none"/>
        </w:rPr>
        <w:t xml:space="preserve"> against the Israeli separation barrier, which have been held weekly for over 15 years, demonstrate the enduring dedication and resilience of traditional activists. This sustained presence is crucial for maintaining pressure on authorities and achieving lasting change."</w:t>
      </w:r>
    </w:p>
    <w:p w14:paraId="61022F40"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Direct Engagement with Decision-Makers</w:t>
      </w:r>
    </w:p>
    <w:p w14:paraId="2BDB904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forms of engagement allow for direct interaction with decision-makers. Lobbying, public hearings, and community forums provide platforms where activists can present their concerns and negotiate with authorities in person. This direct engagement can lead to more immediate and concrete results. For instance, local councils and community leaders in Palestine have successfully used these methods to influence municipal decisions and secure resources for their communities."</w:t>
      </w:r>
    </w:p>
    <w:p w14:paraId="213BC2F3"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Navigating Censorship and Surveillance</w:t>
      </w:r>
    </w:p>
    <w:p w14:paraId="0CB2AA1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"While digital activism faces significant challenges related to censorship and surveillance, traditional methods often operate within more established frameworks of protection. Activists engaging in face-to-face interactions can use trusted networks and local knowledge to navigate state surveillance and repression more effectively. Traditional forms of engagement also reduce the risk of online harassment and digital security breaches, which are prevalent on social media platforms."</w:t>
      </w:r>
    </w:p>
    <w:p w14:paraId="3D34D91A"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Inclusive Participation Beyond the Digital Divide</w:t>
      </w:r>
    </w:p>
    <w:p w14:paraId="2F79879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civic engagement ensures participation from those who may be excluded from digital activism due to the digital divide. In Palestine, internet access and digital literacy are not uniformly distributed, particularly in rural areas and among older generations. Traditional methods, such as town hall meetings and grassroots organizing, ensure that all community members, regardless of their access to technology, can participate and have their voices heard. This inclusivity is vital for building a representative and equitable civil society."</w:t>
      </w:r>
    </w:p>
    <w:p w14:paraId="6454BC0C" w14:textId="77777777" w:rsidR="004854B9" w:rsidRDefault="004854B9" w:rsidP="004854B9">
      <w:pPr>
        <w:rPr>
          <w:rFonts w:ascii="Abadi" w:hAnsi="Abadi"/>
          <w:sz w:val="28"/>
          <w:szCs w:val="28"/>
        </w:rPr>
      </w:pPr>
    </w:p>
    <w:p w14:paraId="21BEF7AC"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486497"/>
      <w:r>
        <w:rPr>
          <w:rFonts w:ascii="Abadi" w:eastAsia="Times New Roman" w:hAnsi="Abadi" w:cs="Times New Roman"/>
          <w:b/>
          <w:bCs/>
          <w:kern w:val="0"/>
          <w:sz w:val="28"/>
          <w:szCs w:val="28"/>
          <w:lang w:eastAsia="en-AE"/>
          <w14:ligatures w14:val="none"/>
        </w:rPr>
        <w:t>Advocate A Responding to Advocate B</w:t>
      </w:r>
      <w:bookmarkEnd w:id="24"/>
    </w:p>
    <w:p w14:paraId="363036C2"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the value of traditional civic engagement in fostering deep community bonds and sustained efforts is acknowledged, it is important to recognize that digital activism complements these strengths by expanding the reach and inclusivity of civic participation. Digital platforms enable rapid mobilization and global awareness, which can amplify local efforts and attract international support. Moreover, digital activism provides a voice to marginalized groups who may be excluded from traditional settings and can operate under conditions where physical protests may be unsafe or suppressed. The integration of digital tools into activism does not replace traditional methods but rather enhances and broadens the impact of civic engagement in Palestine."</w:t>
      </w:r>
    </w:p>
    <w:p w14:paraId="72B18FEF" w14:textId="77777777" w:rsidR="004854B9" w:rsidRDefault="004854B9" w:rsidP="004854B9">
      <w:pPr>
        <w:rPr>
          <w:rFonts w:ascii="Abadi" w:hAnsi="Abadi"/>
          <w:sz w:val="28"/>
          <w:szCs w:val="28"/>
        </w:rPr>
      </w:pPr>
    </w:p>
    <w:p w14:paraId="20EBAD67"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5" w:name="_Toc170486498"/>
      <w:r>
        <w:rPr>
          <w:rFonts w:ascii="Abadi" w:eastAsia="Times New Roman" w:hAnsi="Abadi" w:cs="Times New Roman"/>
          <w:b/>
          <w:bCs/>
          <w:kern w:val="0"/>
          <w:sz w:val="28"/>
          <w:szCs w:val="28"/>
          <w:lang w:eastAsia="en-AE"/>
          <w14:ligatures w14:val="none"/>
        </w:rPr>
        <w:t>Advocate B Responding to Advocate A</w:t>
      </w:r>
      <w:bookmarkEnd w:id="25"/>
    </w:p>
    <w:p w14:paraId="0C67F95A"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digital activism offers significant reach and accessibility, it often lacks the depth and sustained engagement that traditional methods provide. The immediacy and transient nature of online campaigns can lead to 'clicktivism,' where individuals show fleeting support without real commitment or understanding of the issues. Traditional forms of </w:t>
      </w:r>
      <w:r>
        <w:rPr>
          <w:rFonts w:ascii="Abadi" w:eastAsia="Times New Roman" w:hAnsi="Abadi" w:cs="Times New Roman"/>
          <w:kern w:val="0"/>
          <w:sz w:val="28"/>
          <w:szCs w:val="28"/>
          <w:lang w:eastAsia="en-AE"/>
          <w14:ligatures w14:val="none"/>
        </w:rPr>
        <w:lastRenderedPageBreak/>
        <w:t>engagement build lasting relationships and trust within communities, which are essential for effective and meaningful activism. Furthermore, the digital divide remains a significant barrier in Palestine, limiting the reach of digital activism to those with reliable internet access and technological literacy. Therefore, traditional methods remain crucial for ensuring inclusive and persistent civic participation."</w:t>
      </w:r>
    </w:p>
    <w:p w14:paraId="0BD59644" w14:textId="77777777" w:rsidR="004854B9" w:rsidRDefault="004854B9" w:rsidP="004854B9">
      <w:pPr>
        <w:rPr>
          <w:rFonts w:ascii="Abadi" w:hAnsi="Abadi"/>
          <w:sz w:val="28"/>
          <w:szCs w:val="28"/>
        </w:rPr>
      </w:pPr>
    </w:p>
    <w:p w14:paraId="1BF25465"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6" w:name="_Toc170486499"/>
      <w:r>
        <w:rPr>
          <w:rFonts w:ascii="Abadi" w:eastAsia="Times New Roman" w:hAnsi="Abadi" w:cs="Times New Roman"/>
          <w:b/>
          <w:bCs/>
          <w:kern w:val="0"/>
          <w:sz w:val="28"/>
          <w:szCs w:val="28"/>
          <w:lang w:eastAsia="en-AE"/>
          <w14:ligatures w14:val="none"/>
        </w:rPr>
        <w:t>Moderator's Summary</w:t>
      </w:r>
      <w:bookmarkEnd w:id="26"/>
    </w:p>
    <w:p w14:paraId="3A9C682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compelling presentations on the merits of digital activism and traditional forms of civic engagement in Palestine. Advocate A emphasized the transformative potential of digital activism, highlighting its broad accessibility, rapid mobilization capabilities, and ability to amplify marginalized voices. Examples like the 'Save Sheikh Jarrah' campaign and projects such as 'We Are Not Numbers' showcase how digital platforms can mobilize international support and raise awareness quickly and effectively.</w:t>
      </w:r>
    </w:p>
    <w:p w14:paraId="1D557D1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On the other hand, Advocate B underscored the enduring importance of traditional civic engagement, pointing out its role in building deep community bonds, fostering sustained commitment, and facilitating direct engagement with decision-makers. Traditional methods like the 'Great March of Return' and long-standing local protests in </w:t>
      </w:r>
      <w:proofErr w:type="spellStart"/>
      <w:r>
        <w:rPr>
          <w:rFonts w:ascii="Abadi" w:eastAsia="Times New Roman" w:hAnsi="Abadi" w:cs="Times New Roman"/>
          <w:kern w:val="0"/>
          <w:sz w:val="28"/>
          <w:szCs w:val="28"/>
          <w:lang w:eastAsia="en-AE"/>
          <w14:ligatures w14:val="none"/>
        </w:rPr>
        <w:t>Bil'in</w:t>
      </w:r>
      <w:proofErr w:type="spellEnd"/>
      <w:r>
        <w:rPr>
          <w:rFonts w:ascii="Abadi" w:eastAsia="Times New Roman" w:hAnsi="Abadi" w:cs="Times New Roman"/>
          <w:kern w:val="0"/>
          <w:sz w:val="28"/>
          <w:szCs w:val="28"/>
          <w:lang w:eastAsia="en-AE"/>
          <w14:ligatures w14:val="none"/>
        </w:rPr>
        <w:t xml:space="preserve"> illustrate how physical presence and face-to-face interactions can create powerful solidarity and achieve lasting impacts.</w:t>
      </w:r>
    </w:p>
    <w:p w14:paraId="73AD7130"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 we reflect on tonight's debate, it becomes clear that both digital activism and traditional forms of civic engagement have unique strengths and face distinct challenges. Digital activism excels in its ability to reach a wide audience quickly and inclusively, especially in a connected world. However, it can sometimes lack the depth and sustained effort needed for long-term change. Conversely, traditional engagement builds strong community ties and enduring efforts but may be limited by the digital divide and the slower pace of mobilization.</w:t>
      </w:r>
    </w:p>
    <w:p w14:paraId="5FDC2C5B"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hybrid approach that combines the rapid mobilization and broad reach of digital activism with the deep, sustained commitment of traditional methods could be the most effective strategy for civic engagement in Palestine. By leveraging the strengths of both approaches, Palestinian society can foster a more inclusive, resilient, and impactful civic participation landscape.</w:t>
      </w:r>
    </w:p>
    <w:p w14:paraId="1C9E8AE2"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 encourage all stakeholders, including community leaders, activists, and policymakers, to explore ways to integrate these methods, ensuring that both digital tools and traditional practices are utilized to their fullest potential for the benefit of all Palestinians."</w:t>
      </w:r>
    </w:p>
    <w:p w14:paraId="0942C231" w14:textId="77777777" w:rsidR="004854B9" w:rsidRDefault="004854B9" w:rsidP="004854B9">
      <w:pPr>
        <w:rPr>
          <w:rFonts w:ascii="Abadi" w:hAnsi="Abadi"/>
          <w:sz w:val="28"/>
          <w:szCs w:val="28"/>
        </w:rPr>
      </w:pPr>
    </w:p>
    <w:p w14:paraId="61208D38"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7" w:name="_Toc170486500"/>
      <w:r>
        <w:rPr>
          <w:rFonts w:ascii="Abadi" w:eastAsia="Times New Roman" w:hAnsi="Abadi" w:cs="Times New Roman"/>
          <w:b/>
          <w:bCs/>
          <w:kern w:val="0"/>
          <w:sz w:val="28"/>
          <w:szCs w:val="28"/>
          <w:lang w:eastAsia="en-AE"/>
          <w14:ligatures w14:val="none"/>
        </w:rPr>
        <w:t>Reflective Questions for Further Consideration</w:t>
      </w:r>
      <w:bookmarkEnd w:id="27"/>
    </w:p>
    <w:p w14:paraId="38D678C2" w14:textId="77777777" w:rsidR="004854B9" w:rsidRDefault="004854B9" w:rsidP="004854B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digital activism and traditional forms of civic engagement be integrated to maximize their impact in Palestine?</w:t>
      </w:r>
    </w:p>
    <w:p w14:paraId="16E37508" w14:textId="77777777" w:rsidR="004854B9" w:rsidRDefault="004854B9" w:rsidP="004854B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implemented to ensure that digital activism is inclusive and reaches those affected by the digital divide?</w:t>
      </w:r>
    </w:p>
    <w:p w14:paraId="2F0D837B" w14:textId="77777777" w:rsidR="004854B9" w:rsidRDefault="004854B9" w:rsidP="004854B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traditional community leaders and digital activists collaborate to address shared goals and challenges?</w:t>
      </w:r>
    </w:p>
    <w:p w14:paraId="3479DBC7" w14:textId="77777777" w:rsidR="004854B9" w:rsidRDefault="004854B9" w:rsidP="004854B9">
      <w:pPr>
        <w:rPr>
          <w:rFonts w:ascii="Abadi" w:hAnsi="Abadi"/>
          <w:sz w:val="28"/>
          <w:szCs w:val="28"/>
        </w:rPr>
      </w:pPr>
      <w:r>
        <w:rPr>
          <w:rFonts w:ascii="Abadi" w:hAnsi="Abadi"/>
          <w:kern w:val="0"/>
          <w:sz w:val="28"/>
          <w:szCs w:val="28"/>
          <w14:ligatures w14:val="none"/>
        </w:rPr>
        <w:br w:type="page"/>
      </w:r>
    </w:p>
    <w:p w14:paraId="41F12FD1" w14:textId="77777777" w:rsidR="004854B9" w:rsidRDefault="004854B9" w:rsidP="00A3449E">
      <w:pPr>
        <w:pStyle w:val="Heading1"/>
        <w:pBdr>
          <w:bottom w:val="single" w:sz="4" w:space="1" w:color="auto"/>
        </w:pBdr>
        <w:rPr>
          <w:rFonts w:eastAsia="Times New Roman"/>
          <w:lang w:eastAsia="en-AE"/>
        </w:rPr>
      </w:pPr>
      <w:bookmarkStart w:id="28" w:name="_Toc170486501"/>
      <w:r>
        <w:rPr>
          <w:rFonts w:eastAsia="Times New Roman"/>
          <w:lang w:eastAsia="en-AE"/>
        </w:rPr>
        <w:lastRenderedPageBreak/>
        <w:t>Debate Topic 3: Government Support vs. Independent Civil Society Organizations</w:t>
      </w:r>
      <w:bookmarkEnd w:id="28"/>
      <w:r>
        <w:rPr>
          <w:rFonts w:eastAsia="Times New Roman"/>
          <w:lang w:eastAsia="en-AE"/>
        </w:rPr>
        <w:br/>
      </w:r>
    </w:p>
    <w:p w14:paraId="5CC44C8D"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71B99F1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government support versus independent civil society organizations (CSOs) is pivotal for understanding the dynamics of civic engagement and development in Palestine. Government support can provide CSOs with essential resources, legitimacy, and coordination, potentially enhancing their effectiveness and reach. Conversely, independence from government influence ensures that CSOs can operate without political constraints, advocate freely for social justice, and hold authorities accountable. This discussion explores the benefits and drawbacks of both approaches in fostering a robust civil society that effectively addresses the needs and aspirations of the Palestinian people.</w:t>
      </w:r>
    </w:p>
    <w:p w14:paraId="7918A4A5" w14:textId="77777777" w:rsidR="004854B9" w:rsidRDefault="004854B9" w:rsidP="004854B9">
      <w:pPr>
        <w:rPr>
          <w:rFonts w:ascii="Abadi" w:hAnsi="Abadi"/>
          <w:sz w:val="28"/>
          <w:szCs w:val="28"/>
        </w:rPr>
      </w:pPr>
    </w:p>
    <w:p w14:paraId="41713AD0"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9" w:name="_Toc170486502"/>
      <w:r>
        <w:rPr>
          <w:rFonts w:ascii="Abadi" w:eastAsia="Times New Roman" w:hAnsi="Abadi" w:cs="Times New Roman"/>
          <w:b/>
          <w:bCs/>
          <w:kern w:val="0"/>
          <w:sz w:val="28"/>
          <w:szCs w:val="28"/>
          <w:lang w:eastAsia="en-AE"/>
          <w14:ligatures w14:val="none"/>
        </w:rPr>
        <w:t>Moderator's Presentation</w:t>
      </w:r>
      <w:bookmarkEnd w:id="29"/>
    </w:p>
    <w:p w14:paraId="2FEA148E"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examine a crucial topic concerning the relationship between civil society organizations (CSOs) and the government in Palestine: Government Support vs. Independent Civil Society Organizations. This debate is fundamental in understanding how best to foster a vibrant and effective civil society that can drive social change and development."</w:t>
      </w:r>
      <w:r>
        <w:rPr>
          <w:rFonts w:ascii="Abadi" w:eastAsia="Times New Roman" w:hAnsi="Abadi" w:cs="Times New Roman"/>
          <w:kern w:val="0"/>
          <w:sz w:val="28"/>
          <w:szCs w:val="28"/>
          <w:lang w:eastAsia="en-AE"/>
          <w14:ligatures w14:val="none"/>
        </w:rPr>
        <w:br/>
      </w:r>
    </w:p>
    <w:p w14:paraId="42236101"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Historical Background</w:t>
      </w:r>
      <w:r>
        <w:rPr>
          <w:rFonts w:ascii="Abadi" w:eastAsia="Times New Roman" w:hAnsi="Abadi" w:cs="Times New Roman"/>
          <w:kern w:val="0"/>
          <w:sz w:val="28"/>
          <w:szCs w:val="28"/>
          <w:lang w:eastAsia="en-AE"/>
          <w14:ligatures w14:val="none"/>
        </w:rPr>
        <w:t xml:space="preserve"> "Palestine has a rich history of civil society activism, with numerous organizations playing pivotal roles in areas such as human rights, education, healthcare, and social services. Historically, these organizations have operated both independently and with varying degrees of government support. The Oslo Accords period saw an influx of international funding and a growing role for NGOs, highlighting the potential and challenges of both independent and government-supported civil society activities."</w:t>
      </w:r>
      <w:r>
        <w:rPr>
          <w:rFonts w:ascii="Abadi" w:eastAsia="Times New Roman" w:hAnsi="Abadi" w:cs="Times New Roman"/>
          <w:kern w:val="0"/>
          <w:sz w:val="28"/>
          <w:szCs w:val="28"/>
          <w:lang w:eastAsia="en-AE"/>
          <w14:ligatures w14:val="none"/>
        </w:rPr>
        <w:br/>
      </w:r>
    </w:p>
    <w:p w14:paraId="624D3FE6"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Government Support for CSOs</w:t>
      </w:r>
      <w:r>
        <w:rPr>
          <w:rFonts w:ascii="Abadi" w:eastAsia="Times New Roman" w:hAnsi="Abadi" w:cs="Times New Roman"/>
          <w:kern w:val="0"/>
          <w:sz w:val="28"/>
          <w:szCs w:val="28"/>
          <w:lang w:eastAsia="en-AE"/>
          <w14:ligatures w14:val="none"/>
        </w:rPr>
        <w:t xml:space="preserve"> "Government support for CSOs in Palestine can take many forms, including financial aid, logistical support, and regulatory facilitation. The Palestinian Authority (PA) has partnered with several CSOs to deliver essential </w:t>
      </w:r>
      <w:r>
        <w:rPr>
          <w:rFonts w:ascii="Abadi" w:eastAsia="Times New Roman" w:hAnsi="Abadi" w:cs="Times New Roman"/>
          <w:kern w:val="0"/>
          <w:sz w:val="28"/>
          <w:szCs w:val="28"/>
          <w:lang w:eastAsia="en-AE"/>
          <w14:ligatures w14:val="none"/>
        </w:rPr>
        <w:lastRenderedPageBreak/>
        <w:t>services and implement development projects, especially in areas like health and education. Such partnerships can enhance resource allocation, ensure better coordination of efforts, and provide legitimacy to CSOs working in highly sensitive and politically charged environments."</w:t>
      </w:r>
      <w:r>
        <w:rPr>
          <w:rFonts w:ascii="Abadi" w:eastAsia="Times New Roman" w:hAnsi="Abadi" w:cs="Times New Roman"/>
          <w:kern w:val="0"/>
          <w:sz w:val="28"/>
          <w:szCs w:val="28"/>
          <w:lang w:eastAsia="en-AE"/>
          <w14:ligatures w14:val="none"/>
        </w:rPr>
        <w:br/>
      </w:r>
    </w:p>
    <w:p w14:paraId="489940E8"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Advantages of Government Support</w:t>
      </w:r>
      <w:r>
        <w:rPr>
          <w:rFonts w:ascii="Abadi" w:eastAsia="Times New Roman" w:hAnsi="Abadi" w:cs="Times New Roman"/>
          <w:kern w:val="0"/>
          <w:sz w:val="28"/>
          <w:szCs w:val="28"/>
          <w:lang w:eastAsia="en-AE"/>
          <w14:ligatures w14:val="none"/>
        </w:rPr>
        <w:t xml:space="preserve"> "Government support can significantly amplify the impact of CSOs. It can provide them with stable funding, access to governmental networks, and the ability to scale their operations. For instance, the PA's collaboration with organizations like the Palestinian Red Crescent Society has been instrumental in expanding healthcare services across the West Bank and Gaza. Such partnerships can ensure that resources are utilized efficiently and reach those most in need."</w:t>
      </w:r>
      <w:r>
        <w:rPr>
          <w:rFonts w:ascii="Abadi" w:eastAsia="Times New Roman" w:hAnsi="Abadi" w:cs="Times New Roman"/>
          <w:kern w:val="0"/>
          <w:sz w:val="28"/>
          <w:szCs w:val="28"/>
          <w:lang w:eastAsia="en-AE"/>
          <w14:ligatures w14:val="none"/>
        </w:rPr>
        <w:br/>
      </w:r>
    </w:p>
    <w:p w14:paraId="3A5BE2C4"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and Risks of Government Support</w:t>
      </w:r>
      <w:r>
        <w:rPr>
          <w:rFonts w:ascii="Abadi" w:eastAsia="Times New Roman" w:hAnsi="Abadi" w:cs="Times New Roman"/>
          <w:kern w:val="0"/>
          <w:sz w:val="28"/>
          <w:szCs w:val="28"/>
          <w:lang w:eastAsia="en-AE"/>
          <w14:ligatures w14:val="none"/>
        </w:rPr>
        <w:t xml:space="preserve"> "However, government support is not without its challenges and risks. It can lead to co-optation, where CSOs might align too closely with governmental agendas, potentially compromising their independence and ability to critique state policies. This dynamic can stifle advocacy efforts and reduce the effectiveness of CSOs in holding the government accountable. Additionally, reliance on government funding can make CSOs vulnerable to political shifts and budget cuts."</w:t>
      </w:r>
      <w:r>
        <w:rPr>
          <w:rFonts w:ascii="Abadi" w:eastAsia="Times New Roman" w:hAnsi="Abadi" w:cs="Times New Roman"/>
          <w:kern w:val="0"/>
          <w:sz w:val="28"/>
          <w:szCs w:val="28"/>
          <w:lang w:eastAsia="en-AE"/>
          <w14:ligatures w14:val="none"/>
        </w:rPr>
        <w:br/>
      </w:r>
    </w:p>
    <w:p w14:paraId="721754EA"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Benefits of Independent Civil Society Organizations</w:t>
      </w:r>
      <w:r>
        <w:rPr>
          <w:rFonts w:ascii="Abadi" w:eastAsia="Times New Roman" w:hAnsi="Abadi" w:cs="Times New Roman"/>
          <w:kern w:val="0"/>
          <w:sz w:val="28"/>
          <w:szCs w:val="28"/>
          <w:lang w:eastAsia="en-AE"/>
          <w14:ligatures w14:val="none"/>
        </w:rPr>
        <w:t xml:space="preserve"> "Independent CSOs play a crucial role in advocating for social justice, human rights, and government accountability. Their independence allows them to address issues that might be politically sensitive or overlooked by the government. Organizations such as Al-Haq and the Palestinian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for Human Rights have been vital in documenting human rights abuses and advocating for international justice, free from government influence."</w:t>
      </w:r>
      <w:r>
        <w:rPr>
          <w:rFonts w:ascii="Abadi" w:eastAsia="Times New Roman" w:hAnsi="Abadi" w:cs="Times New Roman"/>
          <w:kern w:val="0"/>
          <w:sz w:val="28"/>
          <w:szCs w:val="28"/>
          <w:lang w:eastAsia="en-AE"/>
          <w14:ligatures w14:val="none"/>
        </w:rPr>
        <w:br/>
      </w:r>
    </w:p>
    <w:p w14:paraId="04217B70"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Facing Independent CSOs</w:t>
      </w:r>
      <w:r>
        <w:rPr>
          <w:rFonts w:ascii="Abadi" w:eastAsia="Times New Roman" w:hAnsi="Abadi" w:cs="Times New Roman"/>
          <w:kern w:val="0"/>
          <w:sz w:val="28"/>
          <w:szCs w:val="28"/>
          <w:lang w:eastAsia="en-AE"/>
          <w14:ligatures w14:val="none"/>
        </w:rPr>
        <w:t xml:space="preserve"> "Independent CSOs often face significant challenges, including funding constraints, political pressure, and operational difficulties. They rely heavily on international donors, which can be unstable and subject to external political influences. Moreover, operating independently in a politically charged environment like Palestine can expose these organizations to threats, harassment, and regulatory hurdles imposed by authorities."</w:t>
      </w:r>
      <w:r>
        <w:rPr>
          <w:rFonts w:ascii="Abadi" w:eastAsia="Times New Roman" w:hAnsi="Abadi" w:cs="Times New Roman"/>
          <w:kern w:val="0"/>
          <w:sz w:val="28"/>
          <w:szCs w:val="28"/>
          <w:lang w:eastAsia="en-AE"/>
          <w14:ligatures w14:val="none"/>
        </w:rPr>
        <w:br/>
      </w:r>
    </w:p>
    <w:p w14:paraId="138936DB"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Case Studies and Real-World Examples</w:t>
      </w:r>
      <w:r>
        <w:rPr>
          <w:rFonts w:ascii="Abadi" w:eastAsia="Times New Roman" w:hAnsi="Abadi" w:cs="Times New Roman"/>
          <w:kern w:val="0"/>
          <w:sz w:val="28"/>
          <w:szCs w:val="28"/>
          <w:lang w:eastAsia="en-AE"/>
          <w14:ligatures w14:val="none"/>
        </w:rPr>
        <w:t xml:space="preserve"> "Looking at global examples, countries like Tunisia and Egypt have shown varying degrees of success and challenges with government-supported and independent CSOs. In Tunisia, post-revolution civil society flourished with significant government support, while in Egypt, heavy-handed government control has stifled independent civil society activities. These cases provide valuable insights for Palestine in navigating the balance between support and independence."</w:t>
      </w:r>
      <w:r>
        <w:rPr>
          <w:rFonts w:ascii="Abadi" w:eastAsia="Times New Roman" w:hAnsi="Abadi" w:cs="Times New Roman"/>
          <w:kern w:val="0"/>
          <w:sz w:val="28"/>
          <w:szCs w:val="28"/>
          <w:lang w:eastAsia="en-AE"/>
          <w14:ligatures w14:val="none"/>
        </w:rPr>
        <w:br/>
      </w:r>
    </w:p>
    <w:p w14:paraId="120A27C2"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Hybrid Models and Collaborative Approaches</w:t>
      </w:r>
      <w:r>
        <w:rPr>
          <w:rFonts w:ascii="Abadi" w:eastAsia="Times New Roman" w:hAnsi="Abadi" w:cs="Times New Roman"/>
          <w:kern w:val="0"/>
          <w:sz w:val="28"/>
          <w:szCs w:val="28"/>
          <w:lang w:eastAsia="en-AE"/>
          <w14:ligatures w14:val="none"/>
        </w:rPr>
        <w:t xml:space="preserve"> "A potential way forward could involve hybrid models that combine the strengths of both approaches. Collaborative frameworks where the government provides support while ensuring CSOs retain their independence and critical voice could be effective. For example, the coordination between Palestinian NGOs and local governments in the delivery of emergency services during the COVID-19 pandemic demonstrated the potential of such hybrid models."</w:t>
      </w:r>
      <w:r>
        <w:rPr>
          <w:rFonts w:ascii="Abadi" w:eastAsia="Times New Roman" w:hAnsi="Abadi" w:cs="Times New Roman"/>
          <w:kern w:val="0"/>
          <w:sz w:val="28"/>
          <w:szCs w:val="28"/>
          <w:lang w:eastAsia="en-AE"/>
          <w14:ligatures w14:val="none"/>
        </w:rPr>
        <w:br/>
      </w:r>
    </w:p>
    <w:p w14:paraId="2AA3F9CC" w14:textId="77777777" w:rsidR="004854B9" w:rsidRDefault="004854B9" w:rsidP="004854B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Concluding Remarks</w:t>
      </w:r>
      <w:r>
        <w:rPr>
          <w:rFonts w:ascii="Abadi" w:eastAsia="Times New Roman" w:hAnsi="Abadi" w:cs="Times New Roman"/>
          <w:kern w:val="0"/>
          <w:sz w:val="28"/>
          <w:szCs w:val="28"/>
          <w:lang w:eastAsia="en-AE"/>
          <w14:ligatures w14:val="none"/>
        </w:rPr>
        <w:t xml:space="preserve"> "As we delve into tonight's debate, we aim to explore these issues comprehensively, examining how best to balance the benefits of government support with the necessity of maintaining independent and effective civil society organizations. By understanding the unique contributions and challenges of both approaches, we can better chart a path forward for a robust and dynamic civil society in Palestine."</w:t>
      </w:r>
    </w:p>
    <w:p w14:paraId="6FB2C30D" w14:textId="77777777" w:rsidR="004854B9" w:rsidRDefault="004854B9" w:rsidP="004854B9">
      <w:pPr>
        <w:rPr>
          <w:rFonts w:ascii="Abadi" w:hAnsi="Abadi"/>
          <w:sz w:val="28"/>
          <w:szCs w:val="28"/>
        </w:rPr>
      </w:pPr>
    </w:p>
    <w:p w14:paraId="37F1AF8D"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70486503"/>
      <w:r>
        <w:rPr>
          <w:rFonts w:ascii="Abadi" w:eastAsia="Times New Roman" w:hAnsi="Abadi" w:cs="Times New Roman"/>
          <w:b/>
          <w:bCs/>
          <w:kern w:val="0"/>
          <w:sz w:val="28"/>
          <w:szCs w:val="28"/>
          <w:lang w:eastAsia="en-AE"/>
          <w14:ligatures w14:val="none"/>
        </w:rPr>
        <w:t>Advocate A Presentation: In Support of Government Support</w:t>
      </w:r>
      <w:bookmarkEnd w:id="30"/>
    </w:p>
    <w:p w14:paraId="4DE8885E"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6CC45750"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As we explore the dynamics of civil society in Palestine, I advocate for the importance of government support for civil society organizations (CSOs). This support can amplify their reach, ensure better coordination, and provide the stability needed to address the complex socio-economic challenges faced by our nation."</w:t>
      </w:r>
    </w:p>
    <w:p w14:paraId="435677BF"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Enhanced Resource Allocation</w:t>
      </w:r>
    </w:p>
    <w:p w14:paraId="673CB29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"Government support can significantly enhance the resource allocation for CSOs, ensuring they have the necessary funding and logistical support to carry out their missions effectively. For instance, the Palestinian Authority (PA) has been instrumental in supporting healthcare initiatives by </w:t>
      </w:r>
      <w:r>
        <w:rPr>
          <w:rFonts w:ascii="Abadi" w:eastAsia="Times New Roman" w:hAnsi="Abadi" w:cs="Times New Roman"/>
          <w:kern w:val="0"/>
          <w:sz w:val="28"/>
          <w:szCs w:val="28"/>
          <w:lang w:eastAsia="en-AE"/>
          <w14:ligatures w14:val="none"/>
        </w:rPr>
        <w:lastRenderedPageBreak/>
        <w:t>partnering with organizations like the Palestinian Red Crescent Society. This partnership has expanded healthcare services across the West Bank and Gaza, ensuring that essential medical aid reaches the most vulnerable populations. Such collaborations can optimize resource use, reducing duplication of efforts and ensuring that aid is distributed more efficiently."</w:t>
      </w:r>
    </w:p>
    <w:p w14:paraId="1E9BA997"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Legitimacy and Political Support</w:t>
      </w:r>
    </w:p>
    <w:p w14:paraId="54C5C6D1"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backing can provide CSOs with the legitimacy and political support needed to operate in a complex and often contentious environment. Government-endorsed initiatives are more likely to gain community trust and cooperation. For example, educational programs supported by the PA in partnership with local NGOs have seen higher participation rates due to the perceived legitimacy and backing of the government. This political support can also facilitate access to restricted areas and populations that might be harder to reach independently."</w:t>
      </w:r>
    </w:p>
    <w:p w14:paraId="42692C46"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Improved Coordination and Collaboration</w:t>
      </w:r>
    </w:p>
    <w:p w14:paraId="57D445E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support can enhance coordination among various CSOs and between CSOs and government agencies. This coordination ensures that efforts are not fragmented and that there is a unified approach to addressing national issues. During the COVID-19 pandemic, for example, the PA coordinated with multiple health organizations to streamline the distribution of medical supplies and information dissemination. This collaboration ensured a more effective and efficient response to the crisis, demonstrating the benefits of coordinated efforts."</w:t>
      </w:r>
    </w:p>
    <w:p w14:paraId="058BA6C3"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Stability and Sustainability</w:t>
      </w:r>
    </w:p>
    <w:p w14:paraId="59893E8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"Stable government support can provide the sustainability that CSOs need to plan and implement long-term projects. Independent organizations often face funding uncertainties, which can disrupt their activities and impact their effectiveness. Government-funded projects, however, benefit from more predictable financial backing, enabling them to pursue long-term goals. For instance, government-supported agricultural initiatives in Palestine have helped improve food security and support sustainable farming practices, contributing to long-term community resilience."</w:t>
      </w:r>
    </w:p>
    <w:p w14:paraId="012FFFDC"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Comprehensive Policy Implementation</w:t>
      </w:r>
    </w:p>
    <w:p w14:paraId="29774D5A"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"Government support allows for the comprehensive implementation of policies that require broad-based participation. CSOs can play a vital role in executing these policies effectively at the grassroots level. For example, </w:t>
      </w:r>
      <w:r>
        <w:rPr>
          <w:rFonts w:ascii="Abadi" w:eastAsia="Times New Roman" w:hAnsi="Abadi" w:cs="Times New Roman"/>
          <w:kern w:val="0"/>
          <w:sz w:val="28"/>
          <w:szCs w:val="28"/>
          <w:lang w:eastAsia="en-AE"/>
          <w14:ligatures w14:val="none"/>
        </w:rPr>
        <w:lastRenderedPageBreak/>
        <w:t>environmental protection policies in Palestine have benefited from government-CSO partnerships that facilitate community engagement and adherence to regulations. These partnerships ensure that policies are not only well-designed but also effectively implemented, reaching the intended beneficiaries."</w:t>
      </w:r>
    </w:p>
    <w:p w14:paraId="60DF3289" w14:textId="77777777" w:rsidR="004854B9" w:rsidRDefault="004854B9" w:rsidP="004854B9">
      <w:pPr>
        <w:rPr>
          <w:rFonts w:ascii="Abadi" w:hAnsi="Abadi"/>
          <w:sz w:val="28"/>
          <w:szCs w:val="28"/>
        </w:rPr>
      </w:pPr>
    </w:p>
    <w:p w14:paraId="6DA2A9FD"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0486504"/>
      <w:r>
        <w:rPr>
          <w:rFonts w:ascii="Abadi" w:eastAsia="Times New Roman" w:hAnsi="Abadi" w:cs="Times New Roman"/>
          <w:b/>
          <w:bCs/>
          <w:kern w:val="0"/>
          <w:sz w:val="28"/>
          <w:szCs w:val="28"/>
          <w:lang w:eastAsia="en-AE"/>
          <w14:ligatures w14:val="none"/>
        </w:rPr>
        <w:t>Advocate B Presentation: In Favor of Independent Civil Society Organizations</w:t>
      </w:r>
      <w:bookmarkEnd w:id="31"/>
    </w:p>
    <w:p w14:paraId="14604CF1"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4D74811B"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government support for civil society organizations (CSOs) can offer resources and legitimacy, I advocate for the importance of maintaining the independence of CSOs in Palestine. Independence ensures that these organizations can operate without political constraints, advocate freely for social justice, and hold authorities accountable, which is crucial for a healthy and dynamic civil society."</w:t>
      </w:r>
    </w:p>
    <w:p w14:paraId="0989D48F"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Freedom to Advocate and Critique</w:t>
      </w:r>
    </w:p>
    <w:p w14:paraId="07AC2D12"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"Independent CSOs have the freedom to advocate for human rights, social justice, and governmental accountability without political interference. This independence is vital in a politically charged environment like Palestine, where government policies and actions can be controversial. Organizations such as Al-Haq and the Palestinian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for Human Rights have been at the forefront of documenting human rights abuses and advocating for international justice. Their independence allows them to critique government policies openly and push for reforms that might be uncomfortable for authorities but are necessary for societal progress."</w:t>
      </w:r>
    </w:p>
    <w:p w14:paraId="7349CB13"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Diversified and Stable Funding</w:t>
      </w:r>
    </w:p>
    <w:p w14:paraId="7100994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"Independent CSOs often rely on diversified funding sources, including international donors, which can provide more stable and sustainable financial support compared to government funding that can be subject to political shifts and budget constraints. For instance, the Palestinian NGOs Network (PNGO) has successfully attracted funding from international agencies and foundations, allowing it to operate effectively and maintain its independence. This diversified funding ensures that CSOs can pursue their missions without being beholden to government agendas."</w:t>
      </w:r>
    </w:p>
    <w:p w14:paraId="3F06137D"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Addressing Marginalized Issues</w:t>
      </w:r>
    </w:p>
    <w:p w14:paraId="6726674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"Independent CSOs are often better positioned to address issues that are politically sensitive or marginalized by the government. For example, women's rights organizations like the Women's Centre for Legal Aid and Counselling (WCLAC) focus on gender-based violence and women's empowerment, areas that might not receive sufficient attention or resources from government programs. These organizations can advocate for policy changes, provide critical services, and raise awareness about issues that are essential for achieving social justice and equality."</w:t>
      </w:r>
    </w:p>
    <w:p w14:paraId="47549922"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Flexibility and Innovation</w:t>
      </w:r>
    </w:p>
    <w:p w14:paraId="138389B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"Independent CSOs can be more flexible and innovative in their approaches to solving social problems. They are not bound by bureaucratic constraints and can quickly adapt to changing circumstances. For instance, grassroots organizations in Gaza have developed innovative community-based solutions to cope with the blockade and frequent airstrikes, providing essential services and support to their communities in ways that larger, more bureaucratic entities might struggle to match. This agility allows them to respond effectively to the immediate needs of the population."</w:t>
      </w:r>
    </w:p>
    <w:p w14:paraId="3847F014"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Building Community Trust and Engagement</w:t>
      </w:r>
    </w:p>
    <w:p w14:paraId="3AD1EFA1"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"Independent CSOs often build stronger community trust and engagement by operating transparently and being directly accountable to the communities they serve. They tend to have deep-rooted connections with local populations, which can lead to more effective and culturally appropriate interventions. For example, organizations like the Palestinian Agricultural Relief Committees (PARC) work closely with farmers to develop sustainable agricultural practices and improve food security. Their close relationship with the community fosters trust and ensures that their programs are well-received and impactful."</w:t>
      </w:r>
    </w:p>
    <w:p w14:paraId="22E2CE74" w14:textId="77777777" w:rsidR="004854B9" w:rsidRDefault="004854B9" w:rsidP="004854B9">
      <w:pPr>
        <w:rPr>
          <w:rFonts w:ascii="Abadi" w:hAnsi="Abadi"/>
          <w:sz w:val="28"/>
          <w:szCs w:val="28"/>
        </w:rPr>
      </w:pPr>
    </w:p>
    <w:p w14:paraId="7216FF3F"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70486505"/>
      <w:r>
        <w:rPr>
          <w:rFonts w:ascii="Abadi" w:eastAsia="Times New Roman" w:hAnsi="Abadi" w:cs="Times New Roman"/>
          <w:b/>
          <w:bCs/>
          <w:kern w:val="0"/>
          <w:sz w:val="28"/>
          <w:szCs w:val="28"/>
          <w:lang w:eastAsia="en-AE"/>
          <w14:ligatures w14:val="none"/>
        </w:rPr>
        <w:t>Advocate A Responding to Advocate B</w:t>
      </w:r>
      <w:bookmarkEnd w:id="32"/>
    </w:p>
    <w:p w14:paraId="774AFC2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the independence of CSOs is crucial for advocating social justice and holding the government accountable, it is essential to recognize the significant benefits of government support. Government-backed CSOs can leverage stable funding, extensive networks, and political legitimacy to amplify their impact. For instance, collaborations between the Palestinian Authority and healthcare organizations have vastly improved service delivery and resource allocation in crisis situations. Government support does not necessarily undermine independence; instead, it can provide a </w:t>
      </w:r>
      <w:r>
        <w:rPr>
          <w:rFonts w:ascii="Abadi" w:eastAsia="Times New Roman" w:hAnsi="Abadi" w:cs="Times New Roman"/>
          <w:kern w:val="0"/>
          <w:sz w:val="28"/>
          <w:szCs w:val="28"/>
          <w:lang w:eastAsia="en-AE"/>
          <w14:ligatures w14:val="none"/>
        </w:rPr>
        <w:lastRenderedPageBreak/>
        <w:t>robust framework for CSOs to operate more effectively and reach wider audiences, especially in addressing large-scale and urgent societal needs."</w:t>
      </w:r>
    </w:p>
    <w:p w14:paraId="12B99149" w14:textId="77777777" w:rsidR="004854B9" w:rsidRDefault="004854B9" w:rsidP="004854B9">
      <w:pPr>
        <w:rPr>
          <w:rFonts w:ascii="Abadi" w:hAnsi="Abadi"/>
          <w:sz w:val="28"/>
          <w:szCs w:val="28"/>
        </w:rPr>
      </w:pPr>
    </w:p>
    <w:p w14:paraId="74075AE2"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3" w:name="_Toc170486506"/>
      <w:r>
        <w:rPr>
          <w:rFonts w:ascii="Abadi" w:eastAsia="Times New Roman" w:hAnsi="Abadi" w:cs="Times New Roman"/>
          <w:b/>
          <w:bCs/>
          <w:kern w:val="0"/>
          <w:sz w:val="28"/>
          <w:szCs w:val="28"/>
          <w:lang w:eastAsia="en-AE"/>
          <w14:ligatures w14:val="none"/>
        </w:rPr>
        <w:t>Advocate B Responding to Advocate A</w:t>
      </w:r>
      <w:bookmarkEnd w:id="33"/>
    </w:p>
    <w:p w14:paraId="5936873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government support can enhance resource allocation and legitimacy, it often comes with constraints that may compromise the independence and critical role of CSOs. Independent organizations, free from political influence, are better positioned to address sensitive issues, innovate, and advocate for marginalized communities without fear of retribution. The reliance on diverse funding sources, as seen with organizations like the Palestinian NGOs Network (PNGO), allows for more sustainable and adaptable operations. This independence ensures that CSOs can remain true to their missions, fostering genuine community trust and engagement."</w:t>
      </w:r>
    </w:p>
    <w:p w14:paraId="1BEF01CF" w14:textId="77777777" w:rsidR="004854B9" w:rsidRDefault="004854B9" w:rsidP="004854B9">
      <w:pPr>
        <w:rPr>
          <w:rFonts w:ascii="Abadi" w:hAnsi="Abadi"/>
          <w:sz w:val="28"/>
          <w:szCs w:val="28"/>
        </w:rPr>
      </w:pPr>
    </w:p>
    <w:p w14:paraId="3B252316"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4" w:name="_Toc170486507"/>
      <w:r>
        <w:rPr>
          <w:rFonts w:ascii="Abadi" w:eastAsia="Times New Roman" w:hAnsi="Abadi" w:cs="Times New Roman"/>
          <w:b/>
          <w:bCs/>
          <w:kern w:val="0"/>
          <w:sz w:val="28"/>
          <w:szCs w:val="28"/>
          <w:lang w:eastAsia="en-AE"/>
          <w14:ligatures w14:val="none"/>
        </w:rPr>
        <w:t>Moderator's Summary</w:t>
      </w:r>
      <w:bookmarkEnd w:id="34"/>
    </w:p>
    <w:p w14:paraId="1ABFE85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insightful presentations on the critical issue of government support versus independent civil society organizations (CSOs) in Palestine. Advocate A highlighted the significant advantages of government support, emphasizing enhanced resource allocation, legitimacy, and improved coordination that can amplify the impact of CSOs. Examples like the Palestinian Authority's partnership with healthcare organizations to deliver essential services illustrate how government backing can provide stability and ensure efficient use of resources.</w:t>
      </w:r>
    </w:p>
    <w:p w14:paraId="4F425522"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On the other hand, Advocate B made a compelling case for the independence of CSOs, underscoring their vital role in advocating for human rights, addressing marginalized issues, and maintaining the flexibility to innovate and respond quickly to community needs. The independence of organizations like Al-Haq and the Palestinian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for Human Rights allows them to critique government policies openly and push for necessary reforms, while diversified funding ensures sustainability and reduces vulnerability to political shifts.</w:t>
      </w:r>
    </w:p>
    <w:p w14:paraId="3EC8E446"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government support and independence have unique strengths and challenges. Government support can provide the stability and resources needed for large-scale initiatives and effective service delivery, while independent CSOs play a crucial role in holding authorities accountable, advocating for social justice, and addressing issues that may be overlooked by government programs.</w:t>
      </w:r>
    </w:p>
    <w:p w14:paraId="3BEA32F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balanced approach that leverages the strengths of both government support and independent operations could be the most effective strategy for Palestine. By fostering partnerships that respect the autonomy of CSOs while providing them with necessary support, we can ensure a vibrant, dynamic, and resilient civil society.</w:t>
      </w:r>
    </w:p>
    <w:p w14:paraId="22B2DA6B"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 encourage all stakeholders, including government officials, civil society leaders, and international donors, to consider how best to support and collaborate with CSOs to maximize their impact and ensure the well-being of all Palestinians."</w:t>
      </w:r>
    </w:p>
    <w:p w14:paraId="427211CA" w14:textId="77777777" w:rsidR="004854B9" w:rsidRDefault="004854B9" w:rsidP="004854B9">
      <w:pPr>
        <w:rPr>
          <w:rFonts w:ascii="Abadi" w:hAnsi="Abadi"/>
          <w:sz w:val="28"/>
          <w:szCs w:val="28"/>
        </w:rPr>
      </w:pPr>
    </w:p>
    <w:p w14:paraId="2D2140D6"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5" w:name="_Toc170486508"/>
      <w:r>
        <w:rPr>
          <w:rFonts w:ascii="Abadi" w:eastAsia="Times New Roman" w:hAnsi="Abadi" w:cs="Times New Roman"/>
          <w:b/>
          <w:bCs/>
          <w:kern w:val="0"/>
          <w:sz w:val="28"/>
          <w:szCs w:val="28"/>
          <w:lang w:eastAsia="en-AE"/>
          <w14:ligatures w14:val="none"/>
        </w:rPr>
        <w:t>Reflective Questions for Further Consideration</w:t>
      </w:r>
      <w:bookmarkEnd w:id="35"/>
    </w:p>
    <w:p w14:paraId="6FC10C09" w14:textId="77777777" w:rsidR="004854B9" w:rsidRDefault="004854B9" w:rsidP="004854B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government support for CSOs does not compromise their independence?</w:t>
      </w:r>
    </w:p>
    <w:p w14:paraId="5BF79B3F" w14:textId="77777777" w:rsidR="004854B9" w:rsidRDefault="004854B9" w:rsidP="004854B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implemented to improve collaboration between government and independent CSOs?</w:t>
      </w:r>
    </w:p>
    <w:p w14:paraId="450BA1F8" w14:textId="77777777" w:rsidR="004854B9" w:rsidRDefault="004854B9" w:rsidP="004854B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CSOs diversify their funding sources to reduce reliance on any single entity?</w:t>
      </w:r>
    </w:p>
    <w:p w14:paraId="6A517804" w14:textId="77777777" w:rsidR="004854B9" w:rsidRDefault="004854B9" w:rsidP="004854B9">
      <w:pPr>
        <w:rPr>
          <w:rFonts w:ascii="Abadi" w:hAnsi="Abadi"/>
          <w:sz w:val="28"/>
          <w:szCs w:val="28"/>
        </w:rPr>
      </w:pPr>
      <w:r>
        <w:rPr>
          <w:rFonts w:ascii="Abadi" w:hAnsi="Abadi"/>
          <w:kern w:val="0"/>
          <w:sz w:val="28"/>
          <w:szCs w:val="28"/>
          <w14:ligatures w14:val="none"/>
        </w:rPr>
        <w:br w:type="page"/>
      </w:r>
    </w:p>
    <w:p w14:paraId="527611E3" w14:textId="77777777" w:rsidR="004854B9" w:rsidRDefault="004854B9" w:rsidP="0032384B">
      <w:pPr>
        <w:pStyle w:val="Heading1"/>
        <w:pBdr>
          <w:bottom w:val="single" w:sz="4" w:space="1" w:color="auto"/>
        </w:pBdr>
        <w:rPr>
          <w:rFonts w:eastAsia="Times New Roman"/>
          <w:lang w:eastAsia="en-AE"/>
        </w:rPr>
      </w:pPr>
      <w:bookmarkStart w:id="36" w:name="_Toc170486509"/>
      <w:r>
        <w:rPr>
          <w:rFonts w:eastAsia="Times New Roman"/>
          <w:lang w:eastAsia="en-AE"/>
        </w:rPr>
        <w:t>Debate Topic 4: Public Funding for Civil Society Initiatives vs. Private Philanthropy</w:t>
      </w:r>
      <w:bookmarkEnd w:id="36"/>
      <w:r>
        <w:rPr>
          <w:rFonts w:eastAsia="Times New Roman"/>
          <w:lang w:eastAsia="en-AE"/>
        </w:rPr>
        <w:br/>
      </w:r>
    </w:p>
    <w:p w14:paraId="1699028A"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7033025"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public funding versus private philanthropy for civil society initiatives is critical for understanding the sustainability and impact of civil society organizations (CSOs) in Palestine. Public funding, provided by the government, can offer stable and substantial financial support, ensuring that CSOs can plan and implement long-term projects. Conversely, private philanthropy, sourced from individual donors, corporations, and foundations, can provide flexibility and encourage innovation. This discussion explores the advantages and disadvantages of both funding sources in fostering a dynamic and resilient civil society in Palestine.</w:t>
      </w:r>
    </w:p>
    <w:p w14:paraId="205A9DE9" w14:textId="77777777" w:rsidR="004854B9" w:rsidRDefault="004854B9" w:rsidP="004854B9">
      <w:pPr>
        <w:rPr>
          <w:rFonts w:ascii="Abadi" w:hAnsi="Abadi"/>
          <w:sz w:val="28"/>
          <w:szCs w:val="28"/>
        </w:rPr>
      </w:pPr>
    </w:p>
    <w:p w14:paraId="4F68BC66"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7" w:name="_Toc170486510"/>
      <w:r>
        <w:rPr>
          <w:rFonts w:ascii="Abadi" w:eastAsia="Times New Roman" w:hAnsi="Abadi" w:cs="Times New Roman"/>
          <w:b/>
          <w:bCs/>
          <w:kern w:val="0"/>
          <w:sz w:val="28"/>
          <w:szCs w:val="28"/>
          <w:lang w:eastAsia="en-AE"/>
          <w14:ligatures w14:val="none"/>
        </w:rPr>
        <w:t>Moderator's Presentation</w:t>
      </w:r>
      <w:bookmarkEnd w:id="37"/>
    </w:p>
    <w:p w14:paraId="00107D36"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examine a critical issue regarding the funding of civil society initiatives in Palestine: Public Funding versus Private Philanthropy. Understanding the dynamics of these two funding sources is essential for ensuring the sustainability and effectiveness of civil society organizations (CSOs) in addressing the needs of our communities."</w:t>
      </w:r>
      <w:r>
        <w:rPr>
          <w:rFonts w:ascii="Abadi" w:eastAsia="Times New Roman" w:hAnsi="Abadi" w:cs="Times New Roman"/>
          <w:kern w:val="0"/>
          <w:sz w:val="28"/>
          <w:szCs w:val="28"/>
          <w:lang w:eastAsia="en-AE"/>
          <w14:ligatures w14:val="none"/>
        </w:rPr>
        <w:br/>
      </w:r>
    </w:p>
    <w:p w14:paraId="13A0202A"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Historical Background</w:t>
      </w:r>
      <w:r>
        <w:rPr>
          <w:rFonts w:ascii="Abadi" w:eastAsia="Times New Roman" w:hAnsi="Abadi" w:cs="Times New Roman"/>
          <w:kern w:val="0"/>
          <w:sz w:val="28"/>
          <w:szCs w:val="28"/>
          <w:lang w:eastAsia="en-AE"/>
          <w14:ligatures w14:val="none"/>
        </w:rPr>
        <w:t xml:space="preserve"> "Civil society in Palestine has historically relied on a mix of public funding and private philanthropy. Public funding from the Palestinian Authority and international donors has been a cornerstone for many CSOs, enabling them to undertake large-scale projects and provide essential services. Private philanthropy, on the other hand, has played a crucial role in supporting innovative and flexible initiatives, often filling gaps left by public funding."</w:t>
      </w:r>
      <w:r>
        <w:rPr>
          <w:rFonts w:ascii="Abadi" w:eastAsia="Times New Roman" w:hAnsi="Abadi" w:cs="Times New Roman"/>
          <w:kern w:val="0"/>
          <w:sz w:val="28"/>
          <w:szCs w:val="28"/>
          <w:lang w:eastAsia="en-AE"/>
          <w14:ligatures w14:val="none"/>
        </w:rPr>
        <w:br/>
      </w:r>
    </w:p>
    <w:p w14:paraId="00FEB0CC"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Public Funding</w:t>
      </w:r>
      <w:r>
        <w:rPr>
          <w:rFonts w:ascii="Abadi" w:eastAsia="Times New Roman" w:hAnsi="Abadi" w:cs="Times New Roman"/>
          <w:kern w:val="0"/>
          <w:sz w:val="28"/>
          <w:szCs w:val="28"/>
          <w:lang w:eastAsia="en-AE"/>
          <w14:ligatures w14:val="none"/>
        </w:rPr>
        <w:t xml:space="preserve"> "Public funding for CSOs in Palestine typically comes from the government budget and international aid. This funding can provide substantial resources, allowing CSOs to plan and execute long-term projects with a degree of financial stability. For example, government-funded programs in health and education have been vital in improving access to essential services across the West Bank and Gaza."</w:t>
      </w:r>
      <w:r>
        <w:rPr>
          <w:rFonts w:ascii="Abadi" w:eastAsia="Times New Roman" w:hAnsi="Abadi" w:cs="Times New Roman"/>
          <w:kern w:val="0"/>
          <w:sz w:val="28"/>
          <w:szCs w:val="28"/>
          <w:lang w:eastAsia="en-AE"/>
          <w14:ligatures w14:val="none"/>
        </w:rPr>
        <w:br/>
      </w:r>
    </w:p>
    <w:p w14:paraId="45D13275"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Advantages of Public Funding</w:t>
      </w:r>
      <w:r>
        <w:rPr>
          <w:rFonts w:ascii="Abadi" w:eastAsia="Times New Roman" w:hAnsi="Abadi" w:cs="Times New Roman"/>
          <w:kern w:val="0"/>
          <w:sz w:val="28"/>
          <w:szCs w:val="28"/>
          <w:lang w:eastAsia="en-AE"/>
          <w14:ligatures w14:val="none"/>
        </w:rPr>
        <w:t xml:space="preserve"> "Public funding offers several advantages. It provides a stable and predictable financial base, enabling CSOs to undertake large-scale and long-term projects. Additionally, public funding can enhance the legitimacy of CSOs, as it often comes with governmental endorsement. This can facilitate access to governmental networks and resources, ensuring better coordination and implementation of initiatives."</w:t>
      </w:r>
      <w:r>
        <w:rPr>
          <w:rFonts w:ascii="Abadi" w:eastAsia="Times New Roman" w:hAnsi="Abadi" w:cs="Times New Roman"/>
          <w:kern w:val="0"/>
          <w:sz w:val="28"/>
          <w:szCs w:val="28"/>
          <w:lang w:eastAsia="en-AE"/>
          <w14:ligatures w14:val="none"/>
        </w:rPr>
        <w:br/>
      </w:r>
    </w:p>
    <w:p w14:paraId="05898A92"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and Risks of Public Funding</w:t>
      </w:r>
      <w:r>
        <w:rPr>
          <w:rFonts w:ascii="Abadi" w:eastAsia="Times New Roman" w:hAnsi="Abadi" w:cs="Times New Roman"/>
          <w:kern w:val="0"/>
          <w:sz w:val="28"/>
          <w:szCs w:val="28"/>
          <w:lang w:eastAsia="en-AE"/>
          <w14:ligatures w14:val="none"/>
        </w:rPr>
        <w:t xml:space="preserve"> "Despite its benefits, public funding also comes with challenges. It can be subject to political influence and shifts in government priorities, which can affect the stability and independence of CSOs. Additionally, bureaucratic processes associated with public funding can lead to delays and inefficiencies, potentially hindering the timely implementation of projects."</w:t>
      </w:r>
      <w:r>
        <w:rPr>
          <w:rFonts w:ascii="Abadi" w:eastAsia="Times New Roman" w:hAnsi="Abadi" w:cs="Times New Roman"/>
          <w:kern w:val="0"/>
          <w:sz w:val="28"/>
          <w:szCs w:val="28"/>
          <w:lang w:eastAsia="en-AE"/>
          <w14:ligatures w14:val="none"/>
        </w:rPr>
        <w:br/>
      </w:r>
    </w:p>
    <w:p w14:paraId="0895A43C"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Benefits of Private Philanthropy</w:t>
      </w:r>
      <w:r>
        <w:rPr>
          <w:rFonts w:ascii="Abadi" w:eastAsia="Times New Roman" w:hAnsi="Abadi" w:cs="Times New Roman"/>
          <w:kern w:val="0"/>
          <w:sz w:val="28"/>
          <w:szCs w:val="28"/>
          <w:lang w:eastAsia="en-AE"/>
          <w14:ligatures w14:val="none"/>
        </w:rPr>
        <w:t xml:space="preserve"> "Private philanthropy provides a flexible and responsive source of funding. It allows CSOs to pursue innovative projects and address emerging issues that may not align with government priorities. For instance, privately funded initiatives like the 'Gaza Sky Geeks' program, which supports tech entrepreneurship in Gaza, have successfully introduced new opportunities and solutions tailored to local needs."</w:t>
      </w:r>
      <w:r>
        <w:rPr>
          <w:rFonts w:ascii="Abadi" w:eastAsia="Times New Roman" w:hAnsi="Abadi" w:cs="Times New Roman"/>
          <w:kern w:val="0"/>
          <w:sz w:val="28"/>
          <w:szCs w:val="28"/>
          <w:lang w:eastAsia="en-AE"/>
          <w14:ligatures w14:val="none"/>
        </w:rPr>
        <w:br/>
      </w:r>
    </w:p>
    <w:p w14:paraId="6FCA572E"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Facing Private Philanthropy</w:t>
      </w:r>
      <w:r>
        <w:rPr>
          <w:rFonts w:ascii="Abadi" w:eastAsia="Times New Roman" w:hAnsi="Abadi" w:cs="Times New Roman"/>
          <w:kern w:val="0"/>
          <w:sz w:val="28"/>
          <w:szCs w:val="28"/>
          <w:lang w:eastAsia="en-AE"/>
          <w14:ligatures w14:val="none"/>
        </w:rPr>
        <w:t xml:space="preserve"> "However, private philanthropy is not without its challenges. It can be inconsistent and unpredictable, making long-term planning difficult. CSOs relying heavily on private donations may face financial instability, as their funding is dependent on the goodwill and economic conditions affecting donors. Furthermore, private philanthropists may have their own agendas, which can sometimes conflict with the broader goals of the CSOs."</w:t>
      </w:r>
      <w:r>
        <w:rPr>
          <w:rFonts w:ascii="Abadi" w:eastAsia="Times New Roman" w:hAnsi="Abadi" w:cs="Times New Roman"/>
          <w:kern w:val="0"/>
          <w:sz w:val="28"/>
          <w:szCs w:val="28"/>
          <w:lang w:eastAsia="en-AE"/>
          <w14:ligatures w14:val="none"/>
        </w:rPr>
        <w:br/>
      </w:r>
    </w:p>
    <w:p w14:paraId="407F6131"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Real-World Examples</w:t>
      </w:r>
      <w:r>
        <w:rPr>
          <w:rFonts w:ascii="Abadi" w:eastAsia="Times New Roman" w:hAnsi="Abadi" w:cs="Times New Roman"/>
          <w:kern w:val="0"/>
          <w:sz w:val="28"/>
          <w:szCs w:val="28"/>
          <w:lang w:eastAsia="en-AE"/>
          <w14:ligatures w14:val="none"/>
        </w:rPr>
        <w:t xml:space="preserve"> "Looking at global examples, countries like the United States and Germany have shown the potential and pitfalls of both public funding and private philanthropy. In the United States, private philanthropy has driven significant social innovation, while in Germany, robust public funding has ensured the sustainability of many social programs. These cases provide valuable insights for Palestine in balancing these two funding sources."</w:t>
      </w:r>
    </w:p>
    <w:p w14:paraId="71C07AC7"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Hybrid Models and Collaborative Approaches</w:t>
      </w:r>
      <w:r>
        <w:rPr>
          <w:rFonts w:ascii="Abadi" w:eastAsia="Times New Roman" w:hAnsi="Abadi" w:cs="Times New Roman"/>
          <w:kern w:val="0"/>
          <w:sz w:val="28"/>
          <w:szCs w:val="28"/>
          <w:lang w:eastAsia="en-AE"/>
          <w14:ligatures w14:val="none"/>
        </w:rPr>
        <w:t xml:space="preserve"> "A potential way forward could involve hybrid models that combine the stability of public funding with the flexibility of private philanthropy. Such models could ensure that CSOs have the financial stability needed for long-term planning while retaining the agility to innovate and respond to emerging needs. Collaborative funding frameworks, where public and private sectors co-fund initiatives, can also foster synergies and maximize impact."</w:t>
      </w:r>
      <w:r>
        <w:rPr>
          <w:rFonts w:ascii="Abadi" w:eastAsia="Times New Roman" w:hAnsi="Abadi" w:cs="Times New Roman"/>
          <w:kern w:val="0"/>
          <w:sz w:val="28"/>
          <w:szCs w:val="28"/>
          <w:lang w:eastAsia="en-AE"/>
          <w14:ligatures w14:val="none"/>
        </w:rPr>
        <w:br/>
      </w:r>
    </w:p>
    <w:p w14:paraId="0033064E" w14:textId="77777777" w:rsidR="004854B9" w:rsidRDefault="004854B9" w:rsidP="004854B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Concluding Remarks</w:t>
      </w:r>
      <w:r>
        <w:rPr>
          <w:rFonts w:ascii="Abadi" w:eastAsia="Times New Roman" w:hAnsi="Abadi" w:cs="Times New Roman"/>
          <w:kern w:val="0"/>
          <w:sz w:val="28"/>
          <w:szCs w:val="28"/>
          <w:lang w:eastAsia="en-AE"/>
          <w14:ligatures w14:val="none"/>
        </w:rPr>
        <w:t xml:space="preserve"> "As we delve into tonight's debate, we aim to explore the nuances of public funding and private philanthropy, examining how best to leverage these sources to support a dynamic and resilient civil society in Palestine. By understanding the strengths and challenges of both approaches, we can chart a path forward that ensures the sustainability and effectiveness of our CSOs in serving the Palestinian people."</w:t>
      </w:r>
    </w:p>
    <w:p w14:paraId="408581ED" w14:textId="77777777" w:rsidR="004854B9" w:rsidRDefault="004854B9" w:rsidP="004854B9">
      <w:pPr>
        <w:rPr>
          <w:rFonts w:ascii="Abadi" w:hAnsi="Abadi"/>
          <w:sz w:val="28"/>
          <w:szCs w:val="28"/>
        </w:rPr>
      </w:pPr>
    </w:p>
    <w:p w14:paraId="5CD645A7"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8" w:name="_Toc170486511"/>
      <w:r>
        <w:rPr>
          <w:rFonts w:ascii="Abadi" w:eastAsia="Times New Roman" w:hAnsi="Abadi" w:cs="Times New Roman"/>
          <w:b/>
          <w:bCs/>
          <w:kern w:val="0"/>
          <w:sz w:val="28"/>
          <w:szCs w:val="28"/>
          <w:lang w:eastAsia="en-AE"/>
          <w14:ligatures w14:val="none"/>
        </w:rPr>
        <w:t>Advocate A Presentation: In Support of Public Funding</w:t>
      </w:r>
      <w:bookmarkEnd w:id="38"/>
    </w:p>
    <w:p w14:paraId="233AF6C1"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281910D9"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As we discuss the crucial topic of funding for civil society initiatives, I advocate for the benefits of public funding. Government support provides the stability, resources, and legitimacy that civil society organizations (CSOs) need to effectively address the long-term and large-scale challenges faced by Palestinian society."</w:t>
      </w:r>
    </w:p>
    <w:p w14:paraId="64A81A4A"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Stability and Predictability</w:t>
      </w:r>
    </w:p>
    <w:p w14:paraId="20057156"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funding offers stability and predictability that are essential for long-term planning and implementation of projects. Government budgets and international aid programs typically provide multi-year funding cycles, allowing CSOs to undertake comprehensive initiatives without the constant uncertainty of securing finances. For instance, the Palestinian Authority’s support for health and education programs has enabled consistent and sustained improvements in these critical areas, ensuring that essential services are continuously provided to the population."</w:t>
      </w:r>
    </w:p>
    <w:p w14:paraId="0BD9ABAA"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Enhanced Legitimacy and Access</w:t>
      </w:r>
    </w:p>
    <w:p w14:paraId="389B4DC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support enhances the legitimacy of CSOs, as it often comes with an official endorsement. This legitimacy can open doors to additional resources and networks that might otherwise be inaccessible. For example, government-backed initiatives often have easier access to public facilities and can engage more effectively with other governmental agencies, ensuring better coordination and execution of projects. This legitimacy can also foster greater trust and cooperation from the community."</w:t>
      </w:r>
    </w:p>
    <w:p w14:paraId="3904C8C1"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Comprehensive and Large-Scale Initiatives</w:t>
      </w:r>
    </w:p>
    <w:p w14:paraId="079663B1"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funding allows CSOs to undertake comprehensive and large-scale initiatives that address systemic issues. Government resources are typically more substantial than those available through private philanthropy, enabling the execution of projects with wide-reaching impacts. Programs like national vaccination campaigns or infrastructure development projects are possible due to significant public funding, addressing needs that require large-scale intervention."</w:t>
      </w:r>
    </w:p>
    <w:p w14:paraId="2F7B2D08"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Alignment with National Priorities</w:t>
      </w:r>
    </w:p>
    <w:p w14:paraId="237B5A6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funding ensures that CSO initiatives are aligned with national priorities and strategic goals. This alignment helps create a coherent and integrated approach to development, where various efforts are complementary rather than fragmented. For instance, the Palestinian Authority’s strategic plan for sustainable development integrates CSO activities in sectors like agriculture, education, and healthcare, promoting a unified and effective national development agenda."</w:t>
      </w:r>
    </w:p>
    <w:p w14:paraId="4E491596"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Capacity Building and Institutional Strengthening</w:t>
      </w:r>
    </w:p>
    <w:p w14:paraId="64CDFD59"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funding can also contribute to capacity building and institutional strengthening of CSOs. Government-supported training programs, workshops, and collaborative projects enhance the skills and capabilities of CSO staff, improving their ability to deliver effective services. Initiatives funded by the Palestinian Authority often include components for capacity building, ensuring that organizations are not only funded but also equipped to manage and implement their projects successfully."</w:t>
      </w:r>
    </w:p>
    <w:p w14:paraId="4D7D21B6" w14:textId="77777777" w:rsidR="004854B9" w:rsidRDefault="004854B9" w:rsidP="004854B9">
      <w:pPr>
        <w:rPr>
          <w:rFonts w:ascii="Abadi" w:hAnsi="Abadi"/>
          <w:sz w:val="28"/>
          <w:szCs w:val="28"/>
        </w:rPr>
      </w:pPr>
    </w:p>
    <w:p w14:paraId="54832FEA"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9" w:name="_Toc170486512"/>
      <w:r>
        <w:rPr>
          <w:rFonts w:ascii="Abadi" w:eastAsia="Times New Roman" w:hAnsi="Abadi" w:cs="Times New Roman"/>
          <w:b/>
          <w:bCs/>
          <w:kern w:val="0"/>
          <w:sz w:val="28"/>
          <w:szCs w:val="28"/>
          <w:lang w:eastAsia="en-AE"/>
          <w14:ligatures w14:val="none"/>
        </w:rPr>
        <w:t>Advocate B Presentation: In Favor of Private Philanthropy</w:t>
      </w:r>
      <w:bookmarkEnd w:id="39"/>
    </w:p>
    <w:p w14:paraId="47D1F3F5"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5C88D09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public funding offers significant advantages, I advocate for the benefits of private philanthropy in supporting civil society initiatives in Palestine. Private philanthropy brings flexibility, innovation, and independence, which are crucial for addressing diverse and emerging needs effectively."</w:t>
      </w:r>
    </w:p>
    <w:p w14:paraId="07B677B0"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Flexibility and Responsiveness</w:t>
      </w:r>
    </w:p>
    <w:p w14:paraId="7E1A5E12"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"Private philanthropy provides the flexibility needed to respond quickly to emerging issues and opportunities. Unlike public funding, which is often tied to bureaucratic processes and long approval cycles, private donors can make swift decisions to support urgent needs. For instance, during the COVID-19 pandemic, private foundations and individual donors were able to quickly mobilize resources to support emergency relief efforts in Palestine, providing critical supplies and support when it was needed most."</w:t>
      </w:r>
    </w:p>
    <w:p w14:paraId="5497CF26"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Encouraging Innovation</w:t>
      </w:r>
    </w:p>
    <w:p w14:paraId="5EF2D35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"Private philanthropy encourages innovation by funding experimental and high-risk initiatives that may not align with government priorities or be deemed too risky for public funding. Programs like the 'Gaza Sky Geeks' tech incubator, funded by private donors, have introduced new opportunities for young Palestinians in technology and entrepreneurship. These innovative projects can serve as models for larger-scale programs and demonstrate new approaches to solving persistent problems."</w:t>
      </w:r>
    </w:p>
    <w:p w14:paraId="24A1EDEC"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Independence and Advocacy</w:t>
      </w:r>
    </w:p>
    <w:p w14:paraId="7331373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"Private funding ensures that CSOs maintain their independence and can advocate freely for social justice and human rights. Organizations that rely on government funding may face constraints in their ability to critique government policies or take on controversial issues. Independent CSOs like Al-Haq and the Palestinian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for Human Rights, which are primarily supported by private donors, are able to pursue their missions without political interference, providing critical oversight and advocacy that are essential for a healthy civil society."</w:t>
      </w:r>
    </w:p>
    <w:p w14:paraId="422154C9"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Diversified Funding Sources</w:t>
      </w:r>
    </w:p>
    <w:p w14:paraId="13BE8840"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"Relying on a diverse array of private donors reduces the risk associated with dependency on a single funding source. This diversification can provide greater financial stability and resilience for CSOs, allowing them to continue their work even if one source of funding is reduced or withdrawn. The Palestinian NGOs Network (PNGO), which secures funding from multiple private foundations, exemplifies how diversified private funding can sustain operations and support a broad range of activities."</w:t>
      </w:r>
    </w:p>
    <w:p w14:paraId="0F7DC1F1"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Community Engagement and Ownership</w:t>
      </w:r>
    </w:p>
    <w:p w14:paraId="6685E0F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"Private philanthropy often involves community-based fundraising and engagement, fostering a sense of ownership and participation among local populations. Grassroots fundraising initiatives can strengthen the connection between CSOs and the communities they serve, ensuring that programs are more responsive to local needs and priorities. This community engagement is crucial for building trust and ensuring the long-term sustainability of civil society initiatives."</w:t>
      </w:r>
    </w:p>
    <w:p w14:paraId="39152AB8" w14:textId="77777777" w:rsidR="004854B9" w:rsidRDefault="004854B9" w:rsidP="004854B9">
      <w:pPr>
        <w:rPr>
          <w:rFonts w:ascii="Abadi" w:hAnsi="Abadi"/>
          <w:sz w:val="28"/>
          <w:szCs w:val="28"/>
        </w:rPr>
      </w:pPr>
    </w:p>
    <w:p w14:paraId="7C14A264"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0" w:name="_Toc170486513"/>
      <w:r>
        <w:rPr>
          <w:rFonts w:ascii="Abadi" w:eastAsia="Times New Roman" w:hAnsi="Abadi" w:cs="Times New Roman"/>
          <w:b/>
          <w:bCs/>
          <w:kern w:val="0"/>
          <w:sz w:val="28"/>
          <w:szCs w:val="28"/>
          <w:lang w:eastAsia="en-AE"/>
          <w14:ligatures w14:val="none"/>
        </w:rPr>
        <w:t>Advocate A Responding to Advocate B</w:t>
      </w:r>
      <w:bookmarkEnd w:id="40"/>
    </w:p>
    <w:p w14:paraId="3EA6D675"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private philanthropy offers flexibility and encourages innovation, it often lacks the stability and scale necessary for long-term planning and large-scale impact. Reliance on private donations can lead to financial instability and inconsistency in funding, making it difficult for CSOs to sustain their operations and projects. Additionally, the agendas of private donors may not always align with the broader needs of society, potentially leading to fragmented and uncoordinated efforts. In contrast, public funding provides a stable, predictable financial base and ensures that CSO initiatives are aligned with national priorities, promoting a more integrated and effective approach to development."</w:t>
      </w:r>
    </w:p>
    <w:p w14:paraId="217E115C" w14:textId="77777777" w:rsidR="004854B9" w:rsidRDefault="004854B9" w:rsidP="004854B9">
      <w:pPr>
        <w:rPr>
          <w:rFonts w:ascii="Abadi" w:hAnsi="Abadi"/>
          <w:sz w:val="28"/>
          <w:szCs w:val="28"/>
        </w:rPr>
      </w:pPr>
    </w:p>
    <w:p w14:paraId="7C6CBB81"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1" w:name="_Toc170486514"/>
      <w:r>
        <w:rPr>
          <w:rFonts w:ascii="Abadi" w:eastAsia="Times New Roman" w:hAnsi="Abadi" w:cs="Times New Roman"/>
          <w:b/>
          <w:bCs/>
          <w:kern w:val="0"/>
          <w:sz w:val="28"/>
          <w:szCs w:val="28"/>
          <w:lang w:eastAsia="en-AE"/>
          <w14:ligatures w14:val="none"/>
        </w:rPr>
        <w:t>Advocate B Responding to Advocate A</w:t>
      </w:r>
      <w:bookmarkEnd w:id="41"/>
    </w:p>
    <w:p w14:paraId="72622FD5"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public funding provides stability and aligns with national priorities, it often comes with bureaucratic constraints and political influence that can limit the effectiveness and independence of CSOs. Private philanthropy, although sometimes less predictable, fosters innovation and allows CSOs to remain agile and responsive to immediate needs. The diversified funding from private sources ensures that CSOs are not overly dependent on a single funding stream, reducing vulnerability to political shifts. Moreover, private donors often support advocacy and human rights work that might be constrained under government-funded initiatives, maintaining a critical voice in society."</w:t>
      </w:r>
    </w:p>
    <w:p w14:paraId="3BD1F4D7" w14:textId="77777777" w:rsidR="004854B9" w:rsidRDefault="004854B9" w:rsidP="004854B9">
      <w:pPr>
        <w:rPr>
          <w:rFonts w:ascii="Abadi" w:hAnsi="Abadi"/>
          <w:sz w:val="28"/>
          <w:szCs w:val="28"/>
        </w:rPr>
      </w:pPr>
    </w:p>
    <w:p w14:paraId="00AABCB1"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2" w:name="_Toc170486515"/>
      <w:r>
        <w:rPr>
          <w:rFonts w:ascii="Abadi" w:eastAsia="Times New Roman" w:hAnsi="Abadi" w:cs="Times New Roman"/>
          <w:b/>
          <w:bCs/>
          <w:kern w:val="0"/>
          <w:sz w:val="28"/>
          <w:szCs w:val="28"/>
          <w:lang w:eastAsia="en-AE"/>
          <w14:ligatures w14:val="none"/>
        </w:rPr>
        <w:t>Moderator's Summary</w:t>
      </w:r>
      <w:bookmarkEnd w:id="42"/>
    </w:p>
    <w:p w14:paraId="31158AF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insightful and compelling arguments on the funding of civil society initiatives in Palestine. Advocate A highlighted the stability, predictability, and scale that public funding provides, enabling civil society organizations (CSOs) to undertake comprehensive, long-term projects that align with national priorities. They emphasized how government support can enhance legitimacy, improve coordination, and strengthen the capacity of CSOs to deliver essential services effectively.</w:t>
      </w:r>
    </w:p>
    <w:p w14:paraId="22804C0B"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underscored the flexibility, innovation, and independence that private philanthropy brings to civil society. They pointed out how private funding allows CSOs to quickly respond to emerging needs, experiment with new approaches, and maintain a critical voice free from political constraints. Private philanthropy supports a diverse range of initiatives, including those that might not align with government priorities, ensuring that all community needs are addressed.</w:t>
      </w:r>
    </w:p>
    <w:p w14:paraId="2EF2171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 we reflect on tonight's debate, it is evident that both public funding and private philanthropy have unique strengths and face distinct challenges. Public funding provides the stability and alignment necessary for large-scale, sustained impact, while private philanthropy encourages innovation and responsiveness, supporting a wide array of initiatives that can address immediate and emerging needs.</w:t>
      </w:r>
    </w:p>
    <w:p w14:paraId="186C2AA1"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hybrid funding model that combines the stability of public funding with the flexibility of private philanthropy could offer the most effective solution. By leveraging the strengths of both funding sources, Palestinian civil society can ensure financial stability, foster innovation, and maintain independence, ultimately enhancing their ability to serve the community effectively.</w:t>
      </w:r>
    </w:p>
    <w:p w14:paraId="08AC21D8"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 encourage all stakeholders, including government bodies, private donors, and civil society leaders, to explore collaborative approaches that maximize the benefits of both public and private funding, ensuring a vibrant and resilient civil society in Palestine."</w:t>
      </w:r>
    </w:p>
    <w:p w14:paraId="4E9B11E7"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3" w:name="_Toc170486516"/>
      <w:r>
        <w:rPr>
          <w:rFonts w:ascii="Abadi" w:eastAsia="Times New Roman" w:hAnsi="Abadi" w:cs="Times New Roman"/>
          <w:b/>
          <w:bCs/>
          <w:kern w:val="0"/>
          <w:sz w:val="28"/>
          <w:szCs w:val="28"/>
          <w:lang w:eastAsia="en-AE"/>
          <w14:ligatures w14:val="none"/>
        </w:rPr>
        <w:t>Reflective Questions for Further Consideration</w:t>
      </w:r>
      <w:bookmarkEnd w:id="43"/>
    </w:p>
    <w:p w14:paraId="2E0AB67B" w14:textId="77777777" w:rsidR="004854B9" w:rsidRDefault="004854B9" w:rsidP="004854B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public and private funding sources be effectively combined to support the long-term sustainability and flexibility of CSOs in Palestine?</w:t>
      </w:r>
    </w:p>
    <w:p w14:paraId="6C074986" w14:textId="77777777" w:rsidR="004854B9" w:rsidRDefault="004854B9" w:rsidP="004854B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implemented to ensure that government-funded CSOs maintain their independence and ability to critique government policies?</w:t>
      </w:r>
    </w:p>
    <w:p w14:paraId="6E9C8666" w14:textId="77777777" w:rsidR="004854B9" w:rsidRDefault="004854B9" w:rsidP="004854B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private philanthropists and government agencies collaborate to align their efforts and avoid duplication in supporting civil society initiatives?</w:t>
      </w:r>
    </w:p>
    <w:p w14:paraId="05DCE67A" w14:textId="77777777" w:rsidR="004854B9" w:rsidRDefault="004854B9" w:rsidP="004854B9">
      <w:pPr>
        <w:rPr>
          <w:rFonts w:ascii="Abadi" w:hAnsi="Abadi"/>
          <w:sz w:val="28"/>
          <w:szCs w:val="28"/>
        </w:rPr>
      </w:pPr>
      <w:r>
        <w:rPr>
          <w:rFonts w:ascii="Abadi" w:hAnsi="Abadi"/>
          <w:kern w:val="0"/>
          <w:sz w:val="28"/>
          <w:szCs w:val="28"/>
          <w14:ligatures w14:val="none"/>
        </w:rPr>
        <w:br w:type="page"/>
      </w:r>
    </w:p>
    <w:p w14:paraId="06828DB2" w14:textId="77777777" w:rsidR="004854B9" w:rsidRDefault="004854B9" w:rsidP="0032384B">
      <w:pPr>
        <w:pStyle w:val="Heading1"/>
        <w:pBdr>
          <w:bottom w:val="single" w:sz="4" w:space="1" w:color="auto"/>
        </w:pBdr>
        <w:rPr>
          <w:rFonts w:eastAsia="Times New Roman"/>
          <w:lang w:eastAsia="en-AE"/>
        </w:rPr>
      </w:pPr>
      <w:bookmarkStart w:id="44" w:name="_Toc170486517"/>
      <w:r>
        <w:rPr>
          <w:rFonts w:eastAsia="Times New Roman"/>
          <w:lang w:eastAsia="en-AE"/>
        </w:rPr>
        <w:t xml:space="preserve">Debate Topic 5: Use of </w:t>
      </w:r>
      <w:proofErr w:type="gramStart"/>
      <w:r>
        <w:rPr>
          <w:rFonts w:eastAsia="Times New Roman"/>
          <w:lang w:eastAsia="en-AE"/>
        </w:rPr>
        <w:t>Social Media</w:t>
      </w:r>
      <w:proofErr w:type="gramEnd"/>
      <w:r>
        <w:rPr>
          <w:rFonts w:eastAsia="Times New Roman"/>
          <w:lang w:eastAsia="en-AE"/>
        </w:rPr>
        <w:t xml:space="preserve"> for Civic Mobilization vs. Traditional Media Outlets</w:t>
      </w:r>
      <w:bookmarkEnd w:id="44"/>
      <w:r>
        <w:rPr>
          <w:rFonts w:eastAsia="Times New Roman"/>
          <w:lang w:eastAsia="en-AE"/>
        </w:rPr>
        <w:br/>
      </w:r>
    </w:p>
    <w:p w14:paraId="5982A20E"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38FDC5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the use of social media versus traditional media outlets for civic mobilization is crucial in understanding the evolving landscape of information dissemination and public engagement in Palestine. Social media platforms offer rapid, widespread reach and interactive engagement, while traditional media outlets such as newspapers, television, and radio have long-established credibility and deep-rooted trust within communities. This discussion examines the effectiveness, accessibility, and impact of these two approaches in mobilizing civic participation and influencing public opinion.</w:t>
      </w:r>
    </w:p>
    <w:p w14:paraId="41059721" w14:textId="77777777" w:rsidR="004854B9" w:rsidRDefault="004854B9" w:rsidP="004854B9">
      <w:pPr>
        <w:rPr>
          <w:rFonts w:ascii="Abadi" w:hAnsi="Abadi"/>
          <w:sz w:val="28"/>
          <w:szCs w:val="28"/>
        </w:rPr>
      </w:pPr>
    </w:p>
    <w:p w14:paraId="0E83A170"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5" w:name="_Toc170486518"/>
      <w:r>
        <w:rPr>
          <w:rFonts w:ascii="Abadi" w:eastAsia="Times New Roman" w:hAnsi="Abadi" w:cs="Times New Roman"/>
          <w:b/>
          <w:bCs/>
          <w:kern w:val="0"/>
          <w:sz w:val="28"/>
          <w:szCs w:val="28"/>
          <w:lang w:eastAsia="en-AE"/>
          <w14:ligatures w14:val="none"/>
        </w:rPr>
        <w:t>Moderator's Presentation</w:t>
      </w:r>
      <w:bookmarkEnd w:id="45"/>
    </w:p>
    <w:p w14:paraId="6AD4EDFF"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to the Debate</w:t>
      </w:r>
      <w:r>
        <w:rPr>
          <w:rFonts w:ascii="Abadi" w:eastAsia="Times New Roman" w:hAnsi="Abadi" w:cs="Times New Roman"/>
          <w:kern w:val="0"/>
          <w:sz w:val="28"/>
          <w:szCs w:val="28"/>
          <w:lang w:eastAsia="en-AE"/>
          <w14:ligatures w14:val="none"/>
        </w:rPr>
        <w:t xml:space="preserve"> "Good evening, everyone. Tonight, we explore a vital topic concerning the mediums of civic mobilization in Palestine: Social Media vs. Traditional Media Outlets. Understanding the roles and effectiveness of these two platforms is essential for shaping public engagement and mobilizing support for civic initiatives."</w:t>
      </w:r>
      <w:r>
        <w:rPr>
          <w:rFonts w:ascii="Abadi" w:eastAsia="Times New Roman" w:hAnsi="Abadi" w:cs="Times New Roman"/>
          <w:kern w:val="0"/>
          <w:sz w:val="28"/>
          <w:szCs w:val="28"/>
          <w:lang w:eastAsia="en-AE"/>
          <w14:ligatures w14:val="none"/>
        </w:rPr>
        <w:br/>
      </w:r>
    </w:p>
    <w:p w14:paraId="05BB4534"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 and Historical Background</w:t>
      </w:r>
      <w:r>
        <w:rPr>
          <w:rFonts w:ascii="Abadi" w:eastAsia="Times New Roman" w:hAnsi="Abadi" w:cs="Times New Roman"/>
          <w:kern w:val="0"/>
          <w:sz w:val="28"/>
          <w:szCs w:val="28"/>
          <w:lang w:eastAsia="en-AE"/>
          <w14:ligatures w14:val="none"/>
        </w:rPr>
        <w:t xml:space="preserve"> "Traditional media outlets such as newspapers, television, and radio have been the cornerstone of information dissemination and public engagement in Palestine for decades. They have built a foundation of credibility and trust, providing in-depth analysis and reporting on critical issues. However, with the advent of the internet and social media platforms like Facebook, Twitter, and Instagram, the dynamics of information flow and public engagement have dramatically shifted. Social media has become a powerful tool for rapid information dissemination and mobilizing support for various causes."</w:t>
      </w:r>
      <w:r>
        <w:rPr>
          <w:rFonts w:ascii="Abadi" w:eastAsia="Times New Roman" w:hAnsi="Abadi" w:cs="Times New Roman"/>
          <w:kern w:val="0"/>
          <w:sz w:val="28"/>
          <w:szCs w:val="28"/>
          <w:lang w:eastAsia="en-AE"/>
          <w14:ligatures w14:val="none"/>
        </w:rPr>
        <w:br/>
      </w:r>
    </w:p>
    <w:p w14:paraId="7C5A8F37"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Current State of </w:t>
      </w:r>
      <w:proofErr w:type="gramStart"/>
      <w:r>
        <w:rPr>
          <w:rFonts w:ascii="Abadi" w:eastAsia="Times New Roman" w:hAnsi="Abadi" w:cs="Times New Roman"/>
          <w:b/>
          <w:bCs/>
          <w:kern w:val="0"/>
          <w:sz w:val="28"/>
          <w:szCs w:val="28"/>
          <w:lang w:eastAsia="en-AE"/>
          <w14:ligatures w14:val="none"/>
        </w:rPr>
        <w:t>Social Media</w:t>
      </w:r>
      <w:proofErr w:type="gramEnd"/>
      <w:r>
        <w:rPr>
          <w:rFonts w:ascii="Abadi" w:eastAsia="Times New Roman" w:hAnsi="Abadi" w:cs="Times New Roman"/>
          <w:b/>
          <w:bCs/>
          <w:kern w:val="0"/>
          <w:sz w:val="28"/>
          <w:szCs w:val="28"/>
          <w:lang w:eastAsia="en-AE"/>
          <w14:ligatures w14:val="none"/>
        </w:rPr>
        <w:t xml:space="preserve"> in Palestine</w:t>
      </w:r>
      <w:r>
        <w:rPr>
          <w:rFonts w:ascii="Abadi" w:eastAsia="Times New Roman" w:hAnsi="Abadi" w:cs="Times New Roman"/>
          <w:kern w:val="0"/>
          <w:sz w:val="28"/>
          <w:szCs w:val="28"/>
          <w:lang w:eastAsia="en-AE"/>
          <w14:ligatures w14:val="none"/>
        </w:rPr>
        <w:t xml:space="preserve"> "Social media use in Palestine has grown exponentially, particularly among the youth. Platforms like Facebook and Twitter are widely used for organizing campaigns, sharing information, and connecting with both local and international audiences. Notable examples include the 'Save Sheikh Jarrah' campaign, which utilized social media to draw global attention to the evictions in East Jerusalem, and the widespread use of hashtags like #FreePalestine to mobilize international solidarity."</w:t>
      </w:r>
      <w:r>
        <w:rPr>
          <w:rFonts w:ascii="Abadi" w:eastAsia="Times New Roman" w:hAnsi="Abadi" w:cs="Times New Roman"/>
          <w:kern w:val="0"/>
          <w:sz w:val="28"/>
          <w:szCs w:val="28"/>
          <w:lang w:eastAsia="en-AE"/>
          <w14:ligatures w14:val="none"/>
        </w:rPr>
        <w:br/>
      </w:r>
    </w:p>
    <w:p w14:paraId="39351B14"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Advantages of </w:t>
      </w:r>
      <w:proofErr w:type="gramStart"/>
      <w:r>
        <w:rPr>
          <w:rFonts w:ascii="Abadi" w:eastAsia="Times New Roman" w:hAnsi="Abadi" w:cs="Times New Roman"/>
          <w:b/>
          <w:bCs/>
          <w:kern w:val="0"/>
          <w:sz w:val="28"/>
          <w:szCs w:val="28"/>
          <w:lang w:eastAsia="en-AE"/>
          <w14:ligatures w14:val="none"/>
        </w:rPr>
        <w:t>Social Media</w:t>
      </w:r>
      <w:proofErr w:type="gramEnd"/>
      <w:r>
        <w:rPr>
          <w:rFonts w:ascii="Abadi" w:eastAsia="Times New Roman" w:hAnsi="Abadi" w:cs="Times New Roman"/>
          <w:b/>
          <w:bCs/>
          <w:kern w:val="0"/>
          <w:sz w:val="28"/>
          <w:szCs w:val="28"/>
          <w:lang w:eastAsia="en-AE"/>
          <w14:ligatures w14:val="none"/>
        </w:rPr>
        <w:t xml:space="preserve"> for Civic Mobilization</w:t>
      </w:r>
      <w:r>
        <w:rPr>
          <w:rFonts w:ascii="Abadi" w:eastAsia="Times New Roman" w:hAnsi="Abadi" w:cs="Times New Roman"/>
          <w:kern w:val="0"/>
          <w:sz w:val="28"/>
          <w:szCs w:val="28"/>
          <w:lang w:eastAsia="en-AE"/>
          <w14:ligatures w14:val="none"/>
        </w:rPr>
        <w:t xml:space="preserve"> "Social media offers several advantages for civic mobilization. It allows for rapid dissemination of information, enabling activists to respond quickly to emerging issues. The interactive nature of social media facilitates engagement and dialogue, fostering a sense of community and collective action. Moreover, social media provides a platform for marginalized voices that might not have access to traditional media outlets, amplifying their reach and impact."</w:t>
      </w:r>
      <w:r>
        <w:rPr>
          <w:rFonts w:ascii="Abadi" w:eastAsia="Times New Roman" w:hAnsi="Abadi" w:cs="Times New Roman"/>
          <w:kern w:val="0"/>
          <w:sz w:val="28"/>
          <w:szCs w:val="28"/>
          <w:lang w:eastAsia="en-AE"/>
          <w14:ligatures w14:val="none"/>
        </w:rPr>
        <w:br/>
      </w:r>
    </w:p>
    <w:p w14:paraId="455CAFE6"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Challenges and Risks of </w:t>
      </w:r>
      <w:proofErr w:type="gramStart"/>
      <w:r>
        <w:rPr>
          <w:rFonts w:ascii="Abadi" w:eastAsia="Times New Roman" w:hAnsi="Abadi" w:cs="Times New Roman"/>
          <w:b/>
          <w:bCs/>
          <w:kern w:val="0"/>
          <w:sz w:val="28"/>
          <w:szCs w:val="28"/>
          <w:lang w:eastAsia="en-AE"/>
          <w14:ligatures w14:val="none"/>
        </w:rPr>
        <w:t>Social Media</w:t>
      </w:r>
      <w:proofErr w:type="gramEnd"/>
      <w:r>
        <w:rPr>
          <w:rFonts w:ascii="Abadi" w:eastAsia="Times New Roman" w:hAnsi="Abadi" w:cs="Times New Roman"/>
          <w:kern w:val="0"/>
          <w:sz w:val="28"/>
          <w:szCs w:val="28"/>
          <w:lang w:eastAsia="en-AE"/>
          <w14:ligatures w14:val="none"/>
        </w:rPr>
        <w:t xml:space="preserve"> "Despite its benefits, social media also presents challenges and risks. The rapid spread of misinformation and fake news can undermine trust and credibility. Activists face risks of surveillance, censorship, and online harassment. Additionally, social media's algorithm-driven nature can create echo chambers, where users are only exposed to information that reinforces their existing beliefs, limiting the potential for constructive dialogue and understanding."</w:t>
      </w:r>
      <w:r>
        <w:rPr>
          <w:rFonts w:ascii="Abadi" w:eastAsia="Times New Roman" w:hAnsi="Abadi" w:cs="Times New Roman"/>
          <w:kern w:val="0"/>
          <w:sz w:val="28"/>
          <w:szCs w:val="28"/>
          <w:lang w:eastAsia="en-AE"/>
          <w14:ligatures w14:val="none"/>
        </w:rPr>
        <w:br/>
      </w:r>
    </w:p>
    <w:p w14:paraId="0FD4D809"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Strengths of Traditional Media Outlets</w:t>
      </w:r>
      <w:r>
        <w:rPr>
          <w:rFonts w:ascii="Abadi" w:eastAsia="Times New Roman" w:hAnsi="Abadi" w:cs="Times New Roman"/>
          <w:kern w:val="0"/>
          <w:sz w:val="28"/>
          <w:szCs w:val="28"/>
          <w:lang w:eastAsia="en-AE"/>
          <w14:ligatures w14:val="none"/>
        </w:rPr>
        <w:t xml:space="preserve"> "Traditional media outlets, with their long-established credibility, offer in-depth reporting and analysis that is often lacking in social media. Newspapers, television, and radio have built trust over years of consistent and reliable reporting. They provide a level of editorial oversight that helps ensure the accuracy and reliability of information, which is crucial for informed public discourse."</w:t>
      </w:r>
      <w:r>
        <w:rPr>
          <w:rFonts w:ascii="Abadi" w:eastAsia="Times New Roman" w:hAnsi="Abadi" w:cs="Times New Roman"/>
          <w:kern w:val="0"/>
          <w:sz w:val="28"/>
          <w:szCs w:val="28"/>
          <w:lang w:eastAsia="en-AE"/>
          <w14:ligatures w14:val="none"/>
        </w:rPr>
        <w:br/>
      </w:r>
    </w:p>
    <w:p w14:paraId="73707DB3"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Facing Traditional Media</w:t>
      </w:r>
      <w:r>
        <w:rPr>
          <w:rFonts w:ascii="Abadi" w:eastAsia="Times New Roman" w:hAnsi="Abadi" w:cs="Times New Roman"/>
          <w:kern w:val="0"/>
          <w:sz w:val="28"/>
          <w:szCs w:val="28"/>
          <w:lang w:eastAsia="en-AE"/>
          <w14:ligatures w14:val="none"/>
        </w:rPr>
        <w:t xml:space="preserve"> "Traditional media outlets face challenges in adapting to the digital age. Declining revenues, reduced readership, and competition from online platforms have forced many traditional media organizations to downsize. Moreover, traditional media can be limited by government influence and censorship, particularly in politically sensitive environments like Palestine. These limitations can restrict the breadth and depth of their reporting."</w:t>
      </w:r>
      <w:r>
        <w:rPr>
          <w:rFonts w:ascii="Abadi" w:eastAsia="Times New Roman" w:hAnsi="Abadi" w:cs="Times New Roman"/>
          <w:kern w:val="0"/>
          <w:sz w:val="28"/>
          <w:szCs w:val="28"/>
          <w:lang w:eastAsia="en-AE"/>
          <w14:ligatures w14:val="none"/>
        </w:rPr>
        <w:br/>
      </w:r>
    </w:p>
    <w:p w14:paraId="3D933137"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Real-World Examples</w:t>
      </w:r>
      <w:r>
        <w:rPr>
          <w:rFonts w:ascii="Abadi" w:eastAsia="Times New Roman" w:hAnsi="Abadi" w:cs="Times New Roman"/>
          <w:kern w:val="0"/>
          <w:sz w:val="28"/>
          <w:szCs w:val="28"/>
          <w:lang w:eastAsia="en-AE"/>
          <w14:ligatures w14:val="none"/>
        </w:rPr>
        <w:t xml:space="preserve"> "Globally, we have seen the impact of both social media and traditional media in civic mobilization. During the Arab Spring, social media played a crucial role in organizing protests and spreading information, while traditional media provided in-depth coverage and analysis. In Palestine, the combination of social media campaigns and traditional media reporting during key events has demonstrated the complementary strengths of both platforms."</w:t>
      </w:r>
      <w:r>
        <w:rPr>
          <w:rFonts w:ascii="Abadi" w:eastAsia="Times New Roman" w:hAnsi="Abadi" w:cs="Times New Roman"/>
          <w:kern w:val="0"/>
          <w:sz w:val="28"/>
          <w:szCs w:val="28"/>
          <w:lang w:eastAsia="en-AE"/>
          <w14:ligatures w14:val="none"/>
        </w:rPr>
        <w:br/>
      </w:r>
    </w:p>
    <w:p w14:paraId="52D3E81E"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Hybrid Models and Collaborative Approaches</w:t>
      </w:r>
      <w:r>
        <w:rPr>
          <w:rFonts w:ascii="Abadi" w:eastAsia="Times New Roman" w:hAnsi="Abadi" w:cs="Times New Roman"/>
          <w:kern w:val="0"/>
          <w:sz w:val="28"/>
          <w:szCs w:val="28"/>
          <w:lang w:eastAsia="en-AE"/>
          <w14:ligatures w14:val="none"/>
        </w:rPr>
        <w:t xml:space="preserve"> "A potential way forward could involve hybrid models that combine the strengths of both social media and traditional media outlets. Social media can be used for rapid mobilization and engagement, while traditional media can provide the in-depth analysis and credibility needed for sustained public discourse. Collaborative efforts between social media influencers and traditional journalists can also enhance the reach and impact of civic initiatives."</w:t>
      </w:r>
      <w:r>
        <w:rPr>
          <w:rFonts w:ascii="Abadi" w:eastAsia="Times New Roman" w:hAnsi="Abadi" w:cs="Times New Roman"/>
          <w:kern w:val="0"/>
          <w:sz w:val="28"/>
          <w:szCs w:val="28"/>
          <w:lang w:eastAsia="en-AE"/>
          <w14:ligatures w14:val="none"/>
        </w:rPr>
        <w:br/>
      </w:r>
    </w:p>
    <w:p w14:paraId="267C9846" w14:textId="77777777" w:rsidR="004854B9" w:rsidRDefault="004854B9" w:rsidP="004854B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Concluding Remarks</w:t>
      </w:r>
      <w:r>
        <w:rPr>
          <w:rFonts w:ascii="Abadi" w:eastAsia="Times New Roman" w:hAnsi="Abadi" w:cs="Times New Roman"/>
          <w:kern w:val="0"/>
          <w:sz w:val="28"/>
          <w:szCs w:val="28"/>
          <w:lang w:eastAsia="en-AE"/>
          <w14:ligatures w14:val="none"/>
        </w:rPr>
        <w:t xml:space="preserve"> "As we delve into tonight's debate, we aim to explore how best to leverage the strengths of both social media and traditional media outlets for effective civic mobilization in Palestine. By understanding the unique contributions and challenges of each platform, we can develop strategies that maximize their impact and foster a more informed and engaged society."</w:t>
      </w:r>
    </w:p>
    <w:p w14:paraId="14EA72F3" w14:textId="77777777" w:rsidR="004854B9" w:rsidRDefault="004854B9" w:rsidP="004854B9">
      <w:pPr>
        <w:rPr>
          <w:rFonts w:ascii="Abadi" w:hAnsi="Abadi"/>
          <w:sz w:val="28"/>
          <w:szCs w:val="28"/>
        </w:rPr>
      </w:pPr>
    </w:p>
    <w:p w14:paraId="01488CA1"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6" w:name="_Toc170486519"/>
      <w:r>
        <w:rPr>
          <w:rFonts w:ascii="Abadi" w:eastAsia="Times New Roman" w:hAnsi="Abadi" w:cs="Times New Roman"/>
          <w:b/>
          <w:bCs/>
          <w:kern w:val="0"/>
          <w:sz w:val="28"/>
          <w:szCs w:val="28"/>
          <w:lang w:eastAsia="en-AE"/>
          <w14:ligatures w14:val="none"/>
        </w:rPr>
        <w:t>Advocate A Presentation: In Support of Social Media</w:t>
      </w:r>
      <w:bookmarkEnd w:id="46"/>
    </w:p>
    <w:p w14:paraId="5747A061"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71E0834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As we discuss the methods of civic mobilization in Palestine, I strongly advocate for the use of social media. This modern tool has revolutionized the way we engage, organize, and mobilize support for civic initiatives. Social media platforms offer unique advantages that are crucial for effective and timely civic engagement."</w:t>
      </w:r>
    </w:p>
    <w:p w14:paraId="4D1A1303"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Rapid Information Dissemination</w:t>
      </w:r>
    </w:p>
    <w:p w14:paraId="7C58459C"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media enables the rapid spread of information, allowing activists to respond quickly to emerging issues. During the 'Save Sheikh Jarrah' campaign, social media platforms were instrumental in mobilizing global support within hours. Hashtags like #SaveSheikhJarrah and #FreePalestine quickly trended worldwide, drawing attention to the evictions in East Jerusalem and garnering international solidarity. This immediacy is unmatched by traditional media."</w:t>
      </w:r>
    </w:p>
    <w:p w14:paraId="6173649C"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Interactive Engagement and Community Building</w:t>
      </w:r>
    </w:p>
    <w:p w14:paraId="22E7A717"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interactive nature of social media fosters direct engagement and dialogue, creating a sense of community and collective action. Platforms like Facebook and Twitter allow activists to engage with their audience in real-time, answer questions, and mobilize support. The 'We Are Not Numbers' project, which uses storytelling to share Palestinian experiences, effectively engages with a global audience, building a supportive and informed community."</w:t>
      </w:r>
    </w:p>
    <w:p w14:paraId="2C01DED8"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Amplification of Marginalized Voices</w:t>
      </w:r>
    </w:p>
    <w:p w14:paraId="5ECED4D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media provides a platform for marginalized voices that might not have access to traditional media outlets. Women, youth, and other underrepresented groups can use social media to share their stories and advocate for change. For instance, the 'Palestinian Youth Movement' leverages social media to organize and amplify the voices of young Palestinians, ensuring their perspectives are heard in national and international discourse."</w:t>
      </w:r>
    </w:p>
    <w:p w14:paraId="3FC91EAB"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Cost-Effective and Accessible</w:t>
      </w:r>
    </w:p>
    <w:p w14:paraId="21AA4DAE"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"Engaging in social media activism is significantly more cost-effective than traditional media campaigns. It reduces the need for expensive resources such as printing and broadcasting. Additionally, social media platforms are accessible to a wide audience, including those in remote or underserved areas. This accessibility ensures broader participation in civic initiatives, as seen with the widespread use of social media during the COVID-19 pandemic to disseminate health information and mobilize community support."</w:t>
      </w:r>
    </w:p>
    <w:p w14:paraId="1D72D199"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Innovative Campaign Strategies</w:t>
      </w:r>
    </w:p>
    <w:p w14:paraId="58DF95B3"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media allows for creative and innovative campaign strategies that can capture the public's attention and drive engagement. Multimedia content such as videos, infographics, and interactive posts can effectively communicate complex issues in an engaging manner. The 'Visualizing Palestine' initiative uses data-driven graphics to highlight social and political issues, reaching a wide audience and making complex information accessible and compelling."</w:t>
      </w:r>
    </w:p>
    <w:p w14:paraId="147ED9EF" w14:textId="77777777" w:rsidR="004854B9" w:rsidRDefault="004854B9" w:rsidP="004854B9">
      <w:pPr>
        <w:rPr>
          <w:rFonts w:ascii="Abadi" w:hAnsi="Abadi"/>
          <w:sz w:val="28"/>
          <w:szCs w:val="28"/>
        </w:rPr>
      </w:pPr>
    </w:p>
    <w:p w14:paraId="617B5A7F"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7" w:name="_Toc170486520"/>
      <w:r>
        <w:rPr>
          <w:rFonts w:ascii="Abadi" w:eastAsia="Times New Roman" w:hAnsi="Abadi" w:cs="Times New Roman"/>
          <w:b/>
          <w:bCs/>
          <w:kern w:val="0"/>
          <w:sz w:val="28"/>
          <w:szCs w:val="28"/>
          <w:lang w:eastAsia="en-AE"/>
          <w14:ligatures w14:val="none"/>
        </w:rPr>
        <w:t>Advocate B Presentation: In Favor of Traditional Media Outlets</w:t>
      </w:r>
      <w:bookmarkEnd w:id="47"/>
    </w:p>
    <w:p w14:paraId="544BAE93"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7675219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the rapid and interactive nature of social media offers significant benefits, I advocate for the continued importance of traditional media outlets in civic mobilization. Newspapers, television, and radio have long-established credibility and trust within communities, providing in-depth analysis and reliable information that are crucial for informed civic engagement."</w:t>
      </w:r>
    </w:p>
    <w:p w14:paraId="0696255A"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1. Established Credibility and Trust</w:t>
      </w:r>
    </w:p>
    <w:p w14:paraId="4923A777"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media outlets have built a foundation of credibility and trust over decades. Their established reputation ensures that the information they provide is taken seriously and believed by the public. For instance, the consistent and reliable reporting by major Palestinian newspapers like 'Al-Quds' and television channels like 'Palestine TV' has made them trusted sources of information for many Palestinians. This credibility is crucial for mobilizing public support and trust."</w:t>
      </w:r>
    </w:p>
    <w:p w14:paraId="77DC5BCA"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2. In-Depth Reporting and Analysis</w:t>
      </w:r>
    </w:p>
    <w:p w14:paraId="5BBA533C"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media offers in-depth reporting and comprehensive analysis that social media often lacks. Investigative journalism and detailed news stories provide context, background, and multiple perspectives on issues, helping the public to understand complex situations more thoroughly. For example, in-depth reports on the humanitarian situation in Gaza by traditional media outlets have provided critical insights and spurred international humanitarian efforts."</w:t>
      </w:r>
    </w:p>
    <w:p w14:paraId="16181292"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3. Broad Reach and Accessibility</w:t>
      </w:r>
    </w:p>
    <w:p w14:paraId="348D227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media reaches a wide audience, including those who may not have access to or be proficient with social media. In rural areas and among older populations, radio and television remain primary sources of information. Radio stations like 'Al-Hara FM' and television broadcasts are accessible even in remote areas, ensuring that civic messages reach all segments of the population. This inclusivity is vital for comprehensive civic mobilization."</w:t>
      </w:r>
    </w:p>
    <w:p w14:paraId="2570D8C6"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4. Editorial Oversight and Accountability</w:t>
      </w:r>
    </w:p>
    <w:p w14:paraId="7538E2B7"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media operates under editorial oversight and established journalistic standards, ensuring that the information disseminated is accurate and reliable. This oversight helps prevent the spread of misinformation and fake news, which can be rampant on social media. The credibility of traditional media is maintained through accountability mechanisms, such as corrections and retractions, which are less prevalent on social media platforms."</w:t>
      </w:r>
    </w:p>
    <w:p w14:paraId="225E8EED" w14:textId="77777777" w:rsidR="004854B9" w:rsidRDefault="004854B9" w:rsidP="004854B9">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Sustained Engagement and Impact</w:t>
      </w:r>
    </w:p>
    <w:p w14:paraId="209DEB19"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"Traditional media can sustain engagement and impact over longer periods through regular programming and ongoing coverage. Weekly columns, investigative series, and continuous news updates keep the public informed and engaged on critical issues. For instance, the ongoing coverage of Israel’s war on Gaza by traditional media outlets has kept the issue in the public eye and maintained international awareness and support over the years."</w:t>
      </w:r>
    </w:p>
    <w:p w14:paraId="6550DF1E"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8" w:name="_Toc170486521"/>
      <w:r>
        <w:rPr>
          <w:rFonts w:ascii="Abadi" w:eastAsia="Times New Roman" w:hAnsi="Abadi" w:cs="Times New Roman"/>
          <w:b/>
          <w:bCs/>
          <w:kern w:val="0"/>
          <w:sz w:val="28"/>
          <w:szCs w:val="28"/>
          <w:lang w:eastAsia="en-AE"/>
          <w14:ligatures w14:val="none"/>
        </w:rPr>
        <w:t>Advocate A Responding to Advocate B</w:t>
      </w:r>
      <w:bookmarkEnd w:id="48"/>
    </w:p>
    <w:p w14:paraId="6A8C7536"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traditional media provides credibility, in-depth reporting, and broad reach, it often lacks the immediacy and interactive engagement that social media offers. Traditional media can be slow to respond to emerging issues and often operates under constraints that limit the representation of marginalized voices. Social media, on the other hand, enables rapid dissemination of information and allows for real-time interaction and mobilization. It provides a platform for diverse voices and fosters community building in ways that traditional media cannot. Additionally, social media's cost-effectiveness and accessibility make it a vital tool for civic engagement, especially among the youth and in resource-constrained environments like Palestine."</w:t>
      </w:r>
    </w:p>
    <w:p w14:paraId="2979875D"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9" w:name="_Toc170486522"/>
      <w:r>
        <w:rPr>
          <w:rFonts w:ascii="Abadi" w:eastAsia="Times New Roman" w:hAnsi="Abadi" w:cs="Times New Roman"/>
          <w:b/>
          <w:bCs/>
          <w:kern w:val="0"/>
          <w:sz w:val="28"/>
          <w:szCs w:val="28"/>
          <w:lang w:eastAsia="en-AE"/>
          <w14:ligatures w14:val="none"/>
        </w:rPr>
        <w:t>Advocate B Responding to Advocate A</w:t>
      </w:r>
      <w:bookmarkEnd w:id="49"/>
    </w:p>
    <w:p w14:paraId="364AC018"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social media's immediacy and interactivity are valuable, these platforms often suffer from issues such as misinformation, lack of accountability, and the creation of echo chambers. Traditional media, with its editorial oversight and established standards, ensures that information is accurate, reliable, and thoroughly vetted. This credibility is essential for maintaining public trust, especially in complex and politically sensitive environments like Palestine. Additionally, traditional media’s broad reach ensures that critical information reaches all segments of the population, including those who are not active on social media. Thus, traditional media remains a cornerstone of informed civic engagement."</w:t>
      </w:r>
    </w:p>
    <w:p w14:paraId="6CB8333B" w14:textId="77777777" w:rsidR="004854B9" w:rsidRDefault="004854B9" w:rsidP="004854B9">
      <w:pPr>
        <w:rPr>
          <w:rFonts w:ascii="Abadi" w:hAnsi="Abadi"/>
          <w:sz w:val="28"/>
          <w:szCs w:val="28"/>
        </w:rPr>
      </w:pPr>
    </w:p>
    <w:p w14:paraId="71924874"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0" w:name="_Toc170486523"/>
      <w:r>
        <w:rPr>
          <w:rFonts w:ascii="Abadi" w:eastAsia="Times New Roman" w:hAnsi="Abadi" w:cs="Times New Roman"/>
          <w:b/>
          <w:bCs/>
          <w:kern w:val="0"/>
          <w:sz w:val="28"/>
          <w:szCs w:val="28"/>
          <w:lang w:eastAsia="en-AE"/>
          <w14:ligatures w14:val="none"/>
        </w:rPr>
        <w:t>Moderator's Summary</w:t>
      </w:r>
      <w:bookmarkEnd w:id="50"/>
    </w:p>
    <w:p w14:paraId="13F28B3F"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compelling arguments on the roles of social media and traditional media outlets in civic mobilization in Palestine. Advocate A highlighted the transformative potential of social media, emphasizing its rapid information dissemination, interactive engagement, and ability to amplify marginalized voices. They cited successful campaigns like 'Save Sheikh Jarrah' and 'We Are Not Numbers' to demonstrate how social media can quickly mobilize international support and foster a sense of community.</w:t>
      </w:r>
    </w:p>
    <w:p w14:paraId="5AD4A22A"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B underscored the enduring importance of traditional media outlets, pointing out their established credibility, in-depth reporting, and broad reach. They argued that newspapers, television, and radio provide reliable and thoroughly vetted information, which is crucial for maintaining public trust. Traditional media’s ability to reach diverse audiences, including those in rural areas and older populations, ensures that critical civic messages are accessible to all.</w:t>
      </w:r>
    </w:p>
    <w:p w14:paraId="2A5DFA87"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social media and traditional media have unique strengths and face distinct challenges. Social media excels in immediacy and interactive engagement, providing a platform for diverse voices and fostering rapid mobilization. However, it is also prone to misinformation and lacks the editorial oversight of traditional media. On the other hand, traditional media offers credibility and comprehensive analysis, but can be slower to respond and less interactive.</w:t>
      </w:r>
    </w:p>
    <w:p w14:paraId="7260DBA4"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hybrid approach that leverages the strengths of both social media and traditional media outlets could offer the most effective strategy for civic mobilization in Palestine. By combining the rapid mobilization and engagement of social media with the credibility and in-depth reporting of traditional media, we can ensure a well-informed, engaged, and active civil society.</w:t>
      </w:r>
    </w:p>
    <w:p w14:paraId="08D7112D" w14:textId="77777777" w:rsidR="004854B9" w:rsidRDefault="004854B9" w:rsidP="004854B9">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 encourage all stakeholders, including media organizations, activists, and community leaders, to explore collaborative efforts that maximize the impact of both platforms, ensuring that civic initiatives are both timely and trustworthy."</w:t>
      </w:r>
    </w:p>
    <w:p w14:paraId="3DBAA2B8" w14:textId="77777777" w:rsidR="004854B9" w:rsidRDefault="004854B9" w:rsidP="004854B9">
      <w:pPr>
        <w:rPr>
          <w:rFonts w:ascii="Abadi" w:hAnsi="Abadi"/>
          <w:sz w:val="28"/>
          <w:szCs w:val="28"/>
        </w:rPr>
      </w:pPr>
    </w:p>
    <w:p w14:paraId="3C014F9A" w14:textId="77777777" w:rsidR="004854B9" w:rsidRDefault="004854B9" w:rsidP="004854B9">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1" w:name="_Toc170486524"/>
      <w:r>
        <w:rPr>
          <w:rFonts w:ascii="Abadi" w:eastAsia="Times New Roman" w:hAnsi="Abadi" w:cs="Times New Roman"/>
          <w:b/>
          <w:bCs/>
          <w:kern w:val="0"/>
          <w:sz w:val="28"/>
          <w:szCs w:val="28"/>
          <w:lang w:eastAsia="en-AE"/>
          <w14:ligatures w14:val="none"/>
        </w:rPr>
        <w:t>Reflective Questions for Further Consideration</w:t>
      </w:r>
      <w:bookmarkEnd w:id="51"/>
    </w:p>
    <w:p w14:paraId="195789DC" w14:textId="77777777" w:rsidR="004854B9" w:rsidRDefault="004854B9" w:rsidP="004854B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social media and traditional media outlets collaborate to ensure accurate and timely information dissemination for civic mobilization?</w:t>
      </w:r>
    </w:p>
    <w:p w14:paraId="4E507844" w14:textId="77777777" w:rsidR="004854B9" w:rsidRDefault="004854B9" w:rsidP="004854B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implemented to prevent the spread of misinformation on social media while leveraging its strengths for civic engagement?</w:t>
      </w:r>
    </w:p>
    <w:p w14:paraId="01D6100A" w14:textId="7C5D598F" w:rsidR="002618A8" w:rsidRPr="004854B9" w:rsidRDefault="004854B9" w:rsidP="004854B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both social media and traditional media are inclusive and reach diverse segments of the Palestinian population?</w:t>
      </w:r>
    </w:p>
    <w:sectPr w:rsidR="002618A8" w:rsidRPr="004854B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E22B5" w14:textId="77777777" w:rsidR="008D193D" w:rsidRDefault="008D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034E2" w14:textId="77777777" w:rsidR="008D193D" w:rsidRDefault="008D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C9BB8" w14:textId="77777777" w:rsidR="008D193D" w:rsidRDefault="008D1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1A8E4CCC"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8D193D" w:rsidRPr="008D193D">
      <w:t>Civic Engagement &amp; Civil Society</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5A300" w14:textId="77777777" w:rsidR="008D193D" w:rsidRDefault="008D1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581"/>
    <w:multiLevelType w:val="multilevel"/>
    <w:tmpl w:val="477E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86083"/>
    <w:multiLevelType w:val="multilevel"/>
    <w:tmpl w:val="B7F0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4194A"/>
    <w:multiLevelType w:val="multilevel"/>
    <w:tmpl w:val="1AB4F1E4"/>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117116"/>
    <w:multiLevelType w:val="multilevel"/>
    <w:tmpl w:val="458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6159A"/>
    <w:multiLevelType w:val="multilevel"/>
    <w:tmpl w:val="C64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BD076A"/>
    <w:multiLevelType w:val="multilevel"/>
    <w:tmpl w:val="2AAC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6D19B2"/>
    <w:multiLevelType w:val="multilevel"/>
    <w:tmpl w:val="B47816E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99926A8"/>
    <w:multiLevelType w:val="multilevel"/>
    <w:tmpl w:val="54D0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5C5705"/>
    <w:multiLevelType w:val="multilevel"/>
    <w:tmpl w:val="2BF24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7573ED"/>
    <w:multiLevelType w:val="multilevel"/>
    <w:tmpl w:val="FB6AC8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22C92137"/>
    <w:multiLevelType w:val="multilevel"/>
    <w:tmpl w:val="EEB2A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7092DBD"/>
    <w:multiLevelType w:val="multilevel"/>
    <w:tmpl w:val="B756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31F8B"/>
    <w:multiLevelType w:val="multilevel"/>
    <w:tmpl w:val="860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DB7766"/>
    <w:multiLevelType w:val="multilevel"/>
    <w:tmpl w:val="BBC8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563C16"/>
    <w:multiLevelType w:val="multilevel"/>
    <w:tmpl w:val="B78E5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18B26A1"/>
    <w:multiLevelType w:val="multilevel"/>
    <w:tmpl w:val="65A0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B208EB"/>
    <w:multiLevelType w:val="multilevel"/>
    <w:tmpl w:val="A2D8A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3AF5887"/>
    <w:multiLevelType w:val="multilevel"/>
    <w:tmpl w:val="F36A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D53A4A"/>
    <w:multiLevelType w:val="multilevel"/>
    <w:tmpl w:val="E1B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3C16D3"/>
    <w:multiLevelType w:val="multilevel"/>
    <w:tmpl w:val="818A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F662A5"/>
    <w:multiLevelType w:val="multilevel"/>
    <w:tmpl w:val="2FD8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532FFC"/>
    <w:multiLevelType w:val="multilevel"/>
    <w:tmpl w:val="DFB24EF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616A72BE"/>
    <w:multiLevelType w:val="multilevel"/>
    <w:tmpl w:val="C63805D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56643E8"/>
    <w:multiLevelType w:val="multilevel"/>
    <w:tmpl w:val="7438E91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D040EA2"/>
    <w:multiLevelType w:val="multilevel"/>
    <w:tmpl w:val="71367FA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74054507"/>
    <w:multiLevelType w:val="multilevel"/>
    <w:tmpl w:val="17A698A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743C75BB"/>
    <w:multiLevelType w:val="multilevel"/>
    <w:tmpl w:val="8ED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E84612"/>
    <w:multiLevelType w:val="multilevel"/>
    <w:tmpl w:val="EFB2114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7EE30C8"/>
    <w:multiLevelType w:val="multilevel"/>
    <w:tmpl w:val="33FE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3C4BB2"/>
    <w:multiLevelType w:val="multilevel"/>
    <w:tmpl w:val="536CE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76354851">
    <w:abstractNumId w:val="21"/>
  </w:num>
  <w:num w:numId="2" w16cid:durableId="1380324754">
    <w:abstractNumId w:val="13"/>
  </w:num>
  <w:num w:numId="3" w16cid:durableId="699357190">
    <w:abstractNumId w:val="15"/>
  </w:num>
  <w:num w:numId="4" w16cid:durableId="1012224524">
    <w:abstractNumId w:val="17"/>
  </w:num>
  <w:num w:numId="5" w16cid:durableId="213394691">
    <w:abstractNumId w:val="24"/>
  </w:num>
  <w:num w:numId="6" w16cid:durableId="1255238669">
    <w:abstractNumId w:val="7"/>
  </w:num>
  <w:num w:numId="7" w16cid:durableId="1690644069">
    <w:abstractNumId w:val="5"/>
  </w:num>
  <w:num w:numId="8" w16cid:durableId="606473819">
    <w:abstractNumId w:val="19"/>
  </w:num>
  <w:num w:numId="9" w16cid:durableId="1592616736">
    <w:abstractNumId w:val="25"/>
  </w:num>
  <w:num w:numId="10" w16cid:durableId="1895040576">
    <w:abstractNumId w:val="12"/>
  </w:num>
  <w:num w:numId="11" w16cid:durableId="1727022090">
    <w:abstractNumId w:val="28"/>
  </w:num>
  <w:num w:numId="12" w16cid:durableId="1233463835">
    <w:abstractNumId w:val="26"/>
  </w:num>
  <w:num w:numId="13" w16cid:durableId="271858738">
    <w:abstractNumId w:val="20"/>
  </w:num>
  <w:num w:numId="14" w16cid:durableId="1088037000">
    <w:abstractNumId w:val="18"/>
  </w:num>
  <w:num w:numId="15" w16cid:durableId="1188325798">
    <w:abstractNumId w:val="3"/>
  </w:num>
  <w:num w:numId="16" w16cid:durableId="1048651122">
    <w:abstractNumId w:val="0"/>
  </w:num>
  <w:num w:numId="17" w16cid:durableId="210389063">
    <w:abstractNumId w:val="9"/>
  </w:num>
  <w:num w:numId="18" w16cid:durableId="2133356679">
    <w:abstractNumId w:val="1"/>
  </w:num>
  <w:num w:numId="19" w16cid:durableId="1805270030">
    <w:abstractNumId w:val="11"/>
  </w:num>
  <w:num w:numId="20" w16cid:durableId="911352567">
    <w:abstractNumId w:val="4"/>
  </w:num>
  <w:num w:numId="21" w16cid:durableId="4586898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13336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42564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9392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15607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1522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478541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00940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918805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80970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3223"/>
    <w:rsid w:val="000043C6"/>
    <w:rsid w:val="00005AB0"/>
    <w:rsid w:val="000076E9"/>
    <w:rsid w:val="000077D6"/>
    <w:rsid w:val="00010B20"/>
    <w:rsid w:val="00014FBD"/>
    <w:rsid w:val="00015010"/>
    <w:rsid w:val="00024CF5"/>
    <w:rsid w:val="0002651A"/>
    <w:rsid w:val="00054684"/>
    <w:rsid w:val="00071CB0"/>
    <w:rsid w:val="00074475"/>
    <w:rsid w:val="000A2CF8"/>
    <w:rsid w:val="000A7851"/>
    <w:rsid w:val="000A7BC6"/>
    <w:rsid w:val="000B2A46"/>
    <w:rsid w:val="000B3158"/>
    <w:rsid w:val="000F5598"/>
    <w:rsid w:val="00124A94"/>
    <w:rsid w:val="001259E9"/>
    <w:rsid w:val="00126470"/>
    <w:rsid w:val="00130CF6"/>
    <w:rsid w:val="00132E91"/>
    <w:rsid w:val="00146AAD"/>
    <w:rsid w:val="00150626"/>
    <w:rsid w:val="00152C90"/>
    <w:rsid w:val="00153C31"/>
    <w:rsid w:val="001606B6"/>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2025E"/>
    <w:rsid w:val="002277F7"/>
    <w:rsid w:val="00235048"/>
    <w:rsid w:val="0023504D"/>
    <w:rsid w:val="00235CF7"/>
    <w:rsid w:val="00241F1C"/>
    <w:rsid w:val="00247609"/>
    <w:rsid w:val="00254BDE"/>
    <w:rsid w:val="002618A8"/>
    <w:rsid w:val="002A1A56"/>
    <w:rsid w:val="002B437A"/>
    <w:rsid w:val="002C382C"/>
    <w:rsid w:val="002D0DCC"/>
    <w:rsid w:val="002D4986"/>
    <w:rsid w:val="002F001C"/>
    <w:rsid w:val="002F070E"/>
    <w:rsid w:val="002F2C18"/>
    <w:rsid w:val="00313BCE"/>
    <w:rsid w:val="0032384B"/>
    <w:rsid w:val="003317C9"/>
    <w:rsid w:val="00333476"/>
    <w:rsid w:val="0033702C"/>
    <w:rsid w:val="0034112C"/>
    <w:rsid w:val="00356A2A"/>
    <w:rsid w:val="0036043D"/>
    <w:rsid w:val="00363CB8"/>
    <w:rsid w:val="003738B3"/>
    <w:rsid w:val="003878C8"/>
    <w:rsid w:val="003A3C1C"/>
    <w:rsid w:val="003B423D"/>
    <w:rsid w:val="003B5A1F"/>
    <w:rsid w:val="003C2E19"/>
    <w:rsid w:val="003D6FF8"/>
    <w:rsid w:val="003E28CA"/>
    <w:rsid w:val="003E431E"/>
    <w:rsid w:val="003E5FD5"/>
    <w:rsid w:val="003E6321"/>
    <w:rsid w:val="00404014"/>
    <w:rsid w:val="00412509"/>
    <w:rsid w:val="004222E4"/>
    <w:rsid w:val="0043346B"/>
    <w:rsid w:val="00433864"/>
    <w:rsid w:val="00433992"/>
    <w:rsid w:val="00436A21"/>
    <w:rsid w:val="00455A51"/>
    <w:rsid w:val="00457096"/>
    <w:rsid w:val="00464BDA"/>
    <w:rsid w:val="00474B0F"/>
    <w:rsid w:val="004854B9"/>
    <w:rsid w:val="004968FC"/>
    <w:rsid w:val="004B79C1"/>
    <w:rsid w:val="004C1560"/>
    <w:rsid w:val="004E02CB"/>
    <w:rsid w:val="004E15EF"/>
    <w:rsid w:val="004E6CAF"/>
    <w:rsid w:val="004F0488"/>
    <w:rsid w:val="004F3A42"/>
    <w:rsid w:val="004F6D20"/>
    <w:rsid w:val="004F7CF3"/>
    <w:rsid w:val="005042C2"/>
    <w:rsid w:val="00530A5F"/>
    <w:rsid w:val="00540A65"/>
    <w:rsid w:val="00575E67"/>
    <w:rsid w:val="00590D08"/>
    <w:rsid w:val="00594E24"/>
    <w:rsid w:val="00597861"/>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71B2F"/>
    <w:rsid w:val="00671EF4"/>
    <w:rsid w:val="00674C73"/>
    <w:rsid w:val="006860BD"/>
    <w:rsid w:val="00687956"/>
    <w:rsid w:val="006A14AA"/>
    <w:rsid w:val="006B1093"/>
    <w:rsid w:val="006B1CEE"/>
    <w:rsid w:val="006B38AD"/>
    <w:rsid w:val="006B6D10"/>
    <w:rsid w:val="006C4035"/>
    <w:rsid w:val="006C564E"/>
    <w:rsid w:val="006C73C2"/>
    <w:rsid w:val="006D0E4D"/>
    <w:rsid w:val="006E37B8"/>
    <w:rsid w:val="00701DF6"/>
    <w:rsid w:val="00702D77"/>
    <w:rsid w:val="00703AF8"/>
    <w:rsid w:val="00717908"/>
    <w:rsid w:val="0072081F"/>
    <w:rsid w:val="00730B8F"/>
    <w:rsid w:val="00734E7C"/>
    <w:rsid w:val="00736E1B"/>
    <w:rsid w:val="00746ACA"/>
    <w:rsid w:val="007474DD"/>
    <w:rsid w:val="00750508"/>
    <w:rsid w:val="0075298C"/>
    <w:rsid w:val="007538C6"/>
    <w:rsid w:val="0076503D"/>
    <w:rsid w:val="007654FB"/>
    <w:rsid w:val="007664DD"/>
    <w:rsid w:val="007801FF"/>
    <w:rsid w:val="007B4424"/>
    <w:rsid w:val="007B445F"/>
    <w:rsid w:val="007B4DCB"/>
    <w:rsid w:val="007B5328"/>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021"/>
    <w:rsid w:val="0084629A"/>
    <w:rsid w:val="00846411"/>
    <w:rsid w:val="0085145A"/>
    <w:rsid w:val="00861B2E"/>
    <w:rsid w:val="00865384"/>
    <w:rsid w:val="008851D8"/>
    <w:rsid w:val="00891B2F"/>
    <w:rsid w:val="0089338F"/>
    <w:rsid w:val="008B563A"/>
    <w:rsid w:val="008B77F8"/>
    <w:rsid w:val="008C1BB4"/>
    <w:rsid w:val="008C7680"/>
    <w:rsid w:val="008D193D"/>
    <w:rsid w:val="008D251E"/>
    <w:rsid w:val="008D312A"/>
    <w:rsid w:val="008D6D8B"/>
    <w:rsid w:val="008D7478"/>
    <w:rsid w:val="00901E26"/>
    <w:rsid w:val="00925413"/>
    <w:rsid w:val="00932455"/>
    <w:rsid w:val="009511A9"/>
    <w:rsid w:val="009607AB"/>
    <w:rsid w:val="0096081E"/>
    <w:rsid w:val="00990CEC"/>
    <w:rsid w:val="009B4272"/>
    <w:rsid w:val="009C32BB"/>
    <w:rsid w:val="009C641D"/>
    <w:rsid w:val="009E3384"/>
    <w:rsid w:val="00A00244"/>
    <w:rsid w:val="00A061F2"/>
    <w:rsid w:val="00A06F65"/>
    <w:rsid w:val="00A13F93"/>
    <w:rsid w:val="00A226BF"/>
    <w:rsid w:val="00A3449E"/>
    <w:rsid w:val="00A43142"/>
    <w:rsid w:val="00A46703"/>
    <w:rsid w:val="00A61995"/>
    <w:rsid w:val="00A76A24"/>
    <w:rsid w:val="00A82E70"/>
    <w:rsid w:val="00A8403C"/>
    <w:rsid w:val="00A85E05"/>
    <w:rsid w:val="00A91532"/>
    <w:rsid w:val="00A95475"/>
    <w:rsid w:val="00AA7A30"/>
    <w:rsid w:val="00AC0961"/>
    <w:rsid w:val="00AC1031"/>
    <w:rsid w:val="00AC2964"/>
    <w:rsid w:val="00AD6F4E"/>
    <w:rsid w:val="00AE5969"/>
    <w:rsid w:val="00AE7909"/>
    <w:rsid w:val="00AF2E61"/>
    <w:rsid w:val="00AF384F"/>
    <w:rsid w:val="00AF7D1F"/>
    <w:rsid w:val="00B028D9"/>
    <w:rsid w:val="00B0444E"/>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3C70"/>
    <w:rsid w:val="00BF26A0"/>
    <w:rsid w:val="00BF764E"/>
    <w:rsid w:val="00C03110"/>
    <w:rsid w:val="00C15225"/>
    <w:rsid w:val="00C1582C"/>
    <w:rsid w:val="00C17996"/>
    <w:rsid w:val="00C23A74"/>
    <w:rsid w:val="00C5305E"/>
    <w:rsid w:val="00C55F7D"/>
    <w:rsid w:val="00C57FEC"/>
    <w:rsid w:val="00C701BE"/>
    <w:rsid w:val="00C75BA9"/>
    <w:rsid w:val="00C9154C"/>
    <w:rsid w:val="00C96C03"/>
    <w:rsid w:val="00C979C0"/>
    <w:rsid w:val="00CA7E53"/>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42FD"/>
    <w:rsid w:val="00DB7ED0"/>
    <w:rsid w:val="00DC222F"/>
    <w:rsid w:val="00DD167E"/>
    <w:rsid w:val="00DD34B9"/>
    <w:rsid w:val="00DE3F69"/>
    <w:rsid w:val="00E01758"/>
    <w:rsid w:val="00E045AA"/>
    <w:rsid w:val="00E07922"/>
    <w:rsid w:val="00E24168"/>
    <w:rsid w:val="00E30AAB"/>
    <w:rsid w:val="00E446B2"/>
    <w:rsid w:val="00E51D94"/>
    <w:rsid w:val="00E71851"/>
    <w:rsid w:val="00E91BF2"/>
    <w:rsid w:val="00EA3652"/>
    <w:rsid w:val="00EB3E2A"/>
    <w:rsid w:val="00ED015A"/>
    <w:rsid w:val="00F01BFD"/>
    <w:rsid w:val="00F07701"/>
    <w:rsid w:val="00F14F33"/>
    <w:rsid w:val="00F21C25"/>
    <w:rsid w:val="00F23448"/>
    <w:rsid w:val="00F26523"/>
    <w:rsid w:val="00F40467"/>
    <w:rsid w:val="00F40FA9"/>
    <w:rsid w:val="00F42F62"/>
    <w:rsid w:val="00F52D61"/>
    <w:rsid w:val="00F55B5B"/>
    <w:rsid w:val="00F57F23"/>
    <w:rsid w:val="00F634DE"/>
    <w:rsid w:val="00F73D44"/>
    <w:rsid w:val="00F84DAB"/>
    <w:rsid w:val="00F851B7"/>
    <w:rsid w:val="00F96E83"/>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861"/>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861"/>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DD34B9"/>
    <w:pPr>
      <w:tabs>
        <w:tab w:val="right" w:leader="dot" w:pos="9016"/>
      </w:tabs>
      <w:spacing w:after="100"/>
    </w:pPr>
    <w:rPr>
      <w:noProof/>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3338424">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41</Pages>
  <Words>11475</Words>
  <Characters>65409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513</cp:revision>
  <cp:lastPrinted>2024-06-28T13:02:00Z</cp:lastPrinted>
  <dcterms:created xsi:type="dcterms:W3CDTF">2024-06-07T06:44:00Z</dcterms:created>
  <dcterms:modified xsi:type="dcterms:W3CDTF">2024-06-28T13:03:00Z</dcterms:modified>
</cp:coreProperties>
</file>